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F53A3" w14:textId="7629DED4" w:rsidR="00E81978" w:rsidRDefault="00FB6873">
      <w:pPr>
        <w:pStyle w:val="Title"/>
      </w:pPr>
      <w:sdt>
        <w:sdtPr>
          <w:alias w:val="Title:"/>
          <w:tag w:val="Title:"/>
          <w:id w:val="726351117"/>
          <w:placeholder>
            <w:docPart w:val="9276CA3A700C470BAAA7D3BDC99B2D8E"/>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2103B0">
            <w:t>Definitions</w:t>
          </w:r>
        </w:sdtContent>
      </w:sdt>
    </w:p>
    <w:p w14:paraId="5A288368" w14:textId="797504C3" w:rsidR="00B823AA" w:rsidRDefault="002103B0" w:rsidP="00B823AA">
      <w:pPr>
        <w:pStyle w:val="Title2"/>
      </w:pPr>
      <w:r>
        <w:t>Karen Flores</w:t>
      </w:r>
    </w:p>
    <w:p w14:paraId="5F461BE6" w14:textId="63753577" w:rsidR="00E81978" w:rsidRDefault="002103B0" w:rsidP="00B823AA">
      <w:pPr>
        <w:pStyle w:val="Title2"/>
      </w:pPr>
      <w:r>
        <w:t>University of San Diego</w:t>
      </w:r>
    </w:p>
    <w:p w14:paraId="1FA92EB5" w14:textId="42B521C3" w:rsidR="00E81978" w:rsidRDefault="00E81978">
      <w:pPr>
        <w:pStyle w:val="Title"/>
      </w:pPr>
    </w:p>
    <w:p w14:paraId="38719BAA" w14:textId="52616D34" w:rsidR="00E81978" w:rsidRDefault="00E81978" w:rsidP="00B823AA">
      <w:pPr>
        <w:pStyle w:val="Title2"/>
      </w:pPr>
    </w:p>
    <w:p w14:paraId="0EADE996" w14:textId="6DE3DD20" w:rsidR="00E81978" w:rsidRDefault="00FB6873">
      <w:pPr>
        <w:pStyle w:val="SectionTitle"/>
      </w:pPr>
      <w:sdt>
        <w:sdtPr>
          <w:alias w:val="Section title:"/>
          <w:tag w:val="Section title:"/>
          <w:id w:val="984196707"/>
          <w:placeholder>
            <w:docPart w:val="DCB9FE5C72CC43D79A97ECA6EACE35D2"/>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2103B0">
            <w:t>Definitions</w:t>
          </w:r>
        </w:sdtContent>
      </w:sdt>
    </w:p>
    <w:p w14:paraId="60BA9C68" w14:textId="5C3FC9B7" w:rsidR="00E81978" w:rsidRDefault="002103B0" w:rsidP="002103B0">
      <w:r w:rsidRPr="002103B0">
        <w:rPr>
          <w:b/>
        </w:rPr>
        <w:t>HIPAA</w:t>
      </w:r>
      <w:r w:rsidR="00297F9C">
        <w:rPr>
          <w:b/>
        </w:rPr>
        <w:t xml:space="preserve"> (HIPAA)</w:t>
      </w:r>
      <w:r w:rsidRPr="002103B0">
        <w:rPr>
          <w:b/>
        </w:rPr>
        <w:t>.</w:t>
      </w:r>
      <w:r>
        <w:t xml:space="preserve"> Health Insurance Portability and Accountability Act </w:t>
      </w:r>
      <w:r w:rsidR="00A3535E">
        <w:t>enacted on 1996 was created with the purpose to improve the efficiency and effectiveness of the health care system</w:t>
      </w:r>
      <w:sdt>
        <w:sdtPr>
          <w:id w:val="-160078529"/>
          <w:citation/>
        </w:sdtPr>
        <w:sdtContent>
          <w:r w:rsidR="00A3535E">
            <w:fldChar w:fldCharType="begin"/>
          </w:r>
          <w:r w:rsidR="00A3535E" w:rsidRPr="00A3535E">
            <w:instrText xml:space="preserve"> CITATION USD171 \l 2058 </w:instrText>
          </w:r>
          <w:r w:rsidR="00A3535E">
            <w:fldChar w:fldCharType="separate"/>
          </w:r>
          <w:r w:rsidR="00A3535E" w:rsidRPr="00A3535E">
            <w:rPr>
              <w:noProof/>
            </w:rPr>
            <w:t xml:space="preserve"> (U.S. Department of Human &amp; Health Services, 2017)</w:t>
          </w:r>
          <w:r w:rsidR="00A3535E">
            <w:fldChar w:fldCharType="end"/>
          </w:r>
        </w:sdtContent>
      </w:sdt>
      <w:r w:rsidR="00A3535E">
        <w:t>.  The main intent of this law is to curtail health care fraud and abuse, enforce standards for health care information, guarantee the security and privacy of health care information, and ensure health insurance portability for employed persons</w:t>
      </w:r>
      <w:sdt>
        <w:sdtPr>
          <w:id w:val="314224676"/>
          <w:citation/>
        </w:sdtPr>
        <w:sdtContent>
          <w:r w:rsidR="00A3535E">
            <w:fldChar w:fldCharType="begin"/>
          </w:r>
          <w:r w:rsidR="00A3535E" w:rsidRPr="00A3535E">
            <w:instrText xml:space="preserve"> CITATION Gia18 \l 2058 </w:instrText>
          </w:r>
          <w:r w:rsidR="00A3535E">
            <w:fldChar w:fldCharType="separate"/>
          </w:r>
          <w:r w:rsidR="00A3535E" w:rsidRPr="00A3535E">
            <w:rPr>
              <w:noProof/>
            </w:rPr>
            <w:t xml:space="preserve"> (Gialanella, Mastrian, &amp; McGonigle, 2018)</w:t>
          </w:r>
          <w:r w:rsidR="00A3535E">
            <w:fldChar w:fldCharType="end"/>
          </w:r>
        </w:sdtContent>
      </w:sdt>
      <w:r w:rsidR="00347195">
        <w:t xml:space="preserve">.  Security and privacy aspect to this legislation provide provisions that apply to health information created of maintained by health care providers who are engaged in electronic transactions, health plans, and health care clearing houses </w:t>
      </w:r>
      <w:sdt>
        <w:sdtPr>
          <w:id w:val="-2115893660"/>
          <w:citation/>
        </w:sdtPr>
        <w:sdtContent>
          <w:r w:rsidR="00347195">
            <w:fldChar w:fldCharType="begin"/>
          </w:r>
          <w:r w:rsidR="00347195" w:rsidRPr="00347195">
            <w:instrText xml:space="preserve"> CITATION Gia18 \l 2058 </w:instrText>
          </w:r>
          <w:r w:rsidR="00347195">
            <w:fldChar w:fldCharType="separate"/>
          </w:r>
          <w:r w:rsidR="00347195" w:rsidRPr="00347195">
            <w:rPr>
              <w:noProof/>
            </w:rPr>
            <w:t>(Gialanella, Mastrian, &amp; McGonigle, 2018)</w:t>
          </w:r>
          <w:r w:rsidR="00347195">
            <w:fldChar w:fldCharType="end"/>
          </w:r>
        </w:sdtContent>
      </w:sdt>
      <w:r w:rsidR="00347195">
        <w:t>.</w:t>
      </w:r>
    </w:p>
    <w:p w14:paraId="078A81A4" w14:textId="3CFA65FB" w:rsidR="00347195" w:rsidRDefault="00347195" w:rsidP="002103B0">
      <w:r w:rsidRPr="00347195">
        <w:rPr>
          <w:b/>
        </w:rPr>
        <w:t>Covered Entity</w:t>
      </w:r>
      <w:r w:rsidR="00297F9C">
        <w:rPr>
          <w:b/>
        </w:rPr>
        <w:t xml:space="preserve"> (CE)</w:t>
      </w:r>
      <w:r>
        <w:rPr>
          <w:b/>
        </w:rPr>
        <w:t xml:space="preserve">. </w:t>
      </w:r>
      <w:r>
        <w:t xml:space="preserve"> Health plan, health care clearing house or health care provider that is engaged in the transmission of any health information electronically in connection with a covered transaction</w:t>
      </w:r>
      <w:sdt>
        <w:sdtPr>
          <w:id w:val="-140348051"/>
          <w:citation/>
        </w:sdtPr>
        <w:sdtContent>
          <w:r w:rsidR="00E46D20">
            <w:fldChar w:fldCharType="begin"/>
          </w:r>
          <w:r w:rsidR="00E46D20" w:rsidRPr="00E46D20">
            <w:instrText xml:space="preserve"> CITATION USD13 \l 2058 </w:instrText>
          </w:r>
          <w:r w:rsidR="00E46D20">
            <w:fldChar w:fldCharType="separate"/>
          </w:r>
          <w:r w:rsidR="00E46D20" w:rsidRPr="00E46D20">
            <w:rPr>
              <w:noProof/>
            </w:rPr>
            <w:t xml:space="preserve"> (U.S. Department of Health &amp; Human Services, 2013)</w:t>
          </w:r>
          <w:r w:rsidR="00E46D20">
            <w:fldChar w:fldCharType="end"/>
          </w:r>
        </w:sdtContent>
      </w:sdt>
      <w:r w:rsidR="00E46D20">
        <w:t xml:space="preserve"> for which the Department of Health and Human Services has an adopted standard</w:t>
      </w:r>
      <w:sdt>
        <w:sdtPr>
          <w:id w:val="-791975936"/>
          <w:citation/>
        </w:sdtPr>
        <w:sdtContent>
          <w:r w:rsidR="00E46D20">
            <w:fldChar w:fldCharType="begin"/>
          </w:r>
          <w:r w:rsidR="00E46D20" w:rsidRPr="00E46D20">
            <w:instrText xml:space="preserve"> CITATION USD17 \l 2058 </w:instrText>
          </w:r>
          <w:r w:rsidR="00E46D20">
            <w:fldChar w:fldCharType="separate"/>
          </w:r>
          <w:r w:rsidR="00E46D20" w:rsidRPr="00E46D20">
            <w:rPr>
              <w:noProof/>
            </w:rPr>
            <w:t xml:space="preserve"> (U.S. Department of Health &amp; Human Services, 2017)</w:t>
          </w:r>
          <w:r w:rsidR="00E46D20">
            <w:fldChar w:fldCharType="end"/>
          </w:r>
        </w:sdtContent>
      </w:sdt>
      <w:r w:rsidR="00E46D20">
        <w:t>.</w:t>
      </w:r>
    </w:p>
    <w:p w14:paraId="0E07074F" w14:textId="24CF7582" w:rsidR="00932881" w:rsidRPr="0082764A" w:rsidRDefault="00932881" w:rsidP="002103B0">
      <w:r w:rsidRPr="0082764A">
        <w:rPr>
          <w:b/>
        </w:rPr>
        <w:t>Business Associate</w:t>
      </w:r>
      <w:r w:rsidR="00297F9C">
        <w:rPr>
          <w:b/>
        </w:rPr>
        <w:t xml:space="preserve"> (BA)</w:t>
      </w:r>
      <w:r w:rsidRPr="0082764A">
        <w:rPr>
          <w:b/>
        </w:rPr>
        <w:t>.</w:t>
      </w:r>
      <w:r w:rsidR="0082764A">
        <w:t xml:space="preserve">  As defined by HIPAA, a business associate is a person or entity who performs functions or activities on behalf of, or certain services for, a </w:t>
      </w:r>
      <w:r w:rsidR="0082764A" w:rsidRPr="0082764A">
        <w:rPr>
          <w:i/>
        </w:rPr>
        <w:t>covered entity</w:t>
      </w:r>
      <w:r w:rsidR="0082764A">
        <w:t xml:space="preserve"> that involve management or disclosure of individual identifiable health information</w:t>
      </w:r>
      <w:sdt>
        <w:sdtPr>
          <w:id w:val="-1041357929"/>
          <w:citation/>
        </w:sdtPr>
        <w:sdtContent>
          <w:r w:rsidR="0082764A">
            <w:fldChar w:fldCharType="begin"/>
          </w:r>
          <w:r w:rsidR="0082764A" w:rsidRPr="0082764A">
            <w:instrText xml:space="preserve"> CITATION USD13 \l 2058 </w:instrText>
          </w:r>
          <w:r w:rsidR="0082764A">
            <w:fldChar w:fldCharType="separate"/>
          </w:r>
          <w:r w:rsidR="0082764A" w:rsidRPr="0082764A">
            <w:rPr>
              <w:noProof/>
            </w:rPr>
            <w:t xml:space="preserve"> (U.S. Department of Health &amp; Human Services, 2013)</w:t>
          </w:r>
          <w:r w:rsidR="0082764A">
            <w:fldChar w:fldCharType="end"/>
          </w:r>
        </w:sdtContent>
      </w:sdt>
      <w:r w:rsidR="0082764A">
        <w:t>.</w:t>
      </w:r>
    </w:p>
    <w:p w14:paraId="40914188" w14:textId="68C52CB1" w:rsidR="00A25CA0" w:rsidRDefault="00297F9C" w:rsidP="002103B0">
      <w:r w:rsidRPr="00297F9C">
        <w:rPr>
          <w:b/>
        </w:rPr>
        <w:t>Protected Health Information (PHI)</w:t>
      </w:r>
      <w:r>
        <w:rPr>
          <w:b/>
        </w:rPr>
        <w:t xml:space="preserve">. </w:t>
      </w:r>
      <w:r>
        <w:t xml:space="preserve"> Subset of health information that includes demographic information from an individual that has been created or received by a health care provider, health plan, employer, or health care clearing house in relation to the past, present, or future physical or mental health, as well as, payment information that allows a third party to </w:t>
      </w:r>
      <w:r>
        <w:lastRenderedPageBreak/>
        <w:t>identify such individual</w:t>
      </w:r>
      <w:r w:rsidR="00A25CA0">
        <w:t xml:space="preserve"> regardless of its form of transmission</w:t>
      </w:r>
      <w:sdt>
        <w:sdtPr>
          <w:id w:val="-1563089937"/>
          <w:citation/>
        </w:sdtPr>
        <w:sdtContent>
          <w:r>
            <w:fldChar w:fldCharType="begin"/>
          </w:r>
          <w:r w:rsidRPr="00297F9C">
            <w:instrText xml:space="preserve"> CITATION Gia18 \l 2058 </w:instrText>
          </w:r>
          <w:r>
            <w:fldChar w:fldCharType="separate"/>
          </w:r>
          <w:r w:rsidRPr="00297F9C">
            <w:rPr>
              <w:noProof/>
            </w:rPr>
            <w:t xml:space="preserve"> (Gialanella, Mastrian, &amp; McGonigle, 2018)</w:t>
          </w:r>
          <w:r>
            <w:fldChar w:fldCharType="end"/>
          </w:r>
        </w:sdtContent>
      </w:sdt>
      <w:sdt>
        <w:sdtPr>
          <w:id w:val="1301496742"/>
          <w:citation/>
        </w:sdtPr>
        <w:sdtContent>
          <w:r>
            <w:fldChar w:fldCharType="begin"/>
          </w:r>
          <w:r w:rsidRPr="00297F9C">
            <w:instrText xml:space="preserve"> CITATION Cor18 \l 2058 </w:instrText>
          </w:r>
          <w:r>
            <w:fldChar w:fldCharType="separate"/>
          </w:r>
          <w:r w:rsidRPr="00297F9C">
            <w:rPr>
              <w:noProof/>
            </w:rPr>
            <w:t xml:space="preserve"> (Cornell Law School, s.f.)</w:t>
          </w:r>
          <w:r>
            <w:fldChar w:fldCharType="end"/>
          </w:r>
        </w:sdtContent>
      </w:sdt>
      <w:r>
        <w:t>.</w:t>
      </w:r>
    </w:p>
    <w:p w14:paraId="03D502E0" w14:textId="2D79DADE" w:rsidR="00932881" w:rsidRDefault="00A25CA0" w:rsidP="002103B0">
      <w:r w:rsidRPr="00A25CA0">
        <w:rPr>
          <w:b/>
        </w:rPr>
        <w:t>Privacy Rule.</w:t>
      </w:r>
      <w:r>
        <w:t xml:space="preserve">   </w:t>
      </w:r>
      <w:r w:rsidR="009D22C2">
        <w:t>Part of HIPAA, t</w:t>
      </w:r>
      <w:r>
        <w:t xml:space="preserve">he Standards for Privacy of Individuality Identifiable Health Information establishes a set of standards for the protection of certain health information , as well as, limitations to use and disclosure of health care information by </w:t>
      </w:r>
      <w:r w:rsidR="009D22C2">
        <w:t>covered entity</w:t>
      </w:r>
      <w:r>
        <w:t xml:space="preserve"> </w:t>
      </w:r>
      <w:sdt>
        <w:sdtPr>
          <w:id w:val="438187320"/>
          <w:citation/>
        </w:sdtPr>
        <w:sdtContent>
          <w:r>
            <w:fldChar w:fldCharType="begin"/>
          </w:r>
          <w:r w:rsidRPr="00A25CA0">
            <w:instrText xml:space="preserve"> CITATION USD131 \l 2058 </w:instrText>
          </w:r>
          <w:r w:rsidR="009D22C2">
            <w:instrText xml:space="preserve"> \m Gia18</w:instrText>
          </w:r>
          <w:r>
            <w:fldChar w:fldCharType="separate"/>
          </w:r>
          <w:r w:rsidR="009D22C2" w:rsidRPr="009D22C2">
            <w:rPr>
              <w:noProof/>
            </w:rPr>
            <w:t>(U.S. Department of Health &amp; Human Services, 2013; Gialanella, Mastrian, &amp; McGonigle, 2018)</w:t>
          </w:r>
          <w:r>
            <w:fldChar w:fldCharType="end"/>
          </w:r>
        </w:sdtContent>
      </w:sdt>
      <w:r w:rsidR="009D22C2">
        <w:t>.</w:t>
      </w:r>
    </w:p>
    <w:p w14:paraId="744DDCF0" w14:textId="3CAFC291" w:rsidR="009D22C2" w:rsidRDefault="009D22C2" w:rsidP="002103B0">
      <w:r w:rsidRPr="009D22C2">
        <w:rPr>
          <w:b/>
        </w:rPr>
        <w:t>Breach</w:t>
      </w:r>
      <w:r>
        <w:rPr>
          <w:b/>
        </w:rPr>
        <w:t>.</w:t>
      </w:r>
      <w:r>
        <w:t xml:space="preserve">  HIPAA Privacy Rule defines breach as the unauthorized acquisition, access, use, or disclosure of Protected Health Information which compromises the security or privacy of it, except for cases on which disclosed information is not retained</w:t>
      </w:r>
      <w:sdt>
        <w:sdtPr>
          <w:id w:val="-580370450"/>
          <w:citation/>
        </w:sdtPr>
        <w:sdtContent>
          <w:r>
            <w:fldChar w:fldCharType="begin"/>
          </w:r>
          <w:r w:rsidRPr="009D22C2">
            <w:instrText xml:space="preserve"> CITATION USD13 \l 2058 </w:instrText>
          </w:r>
          <w:r>
            <w:fldChar w:fldCharType="separate"/>
          </w:r>
          <w:r w:rsidRPr="009D22C2">
            <w:rPr>
              <w:noProof/>
            </w:rPr>
            <w:t xml:space="preserve"> (U.S. Department of Health &amp; Human Services, 2013)</w:t>
          </w:r>
          <w:r>
            <w:fldChar w:fldCharType="end"/>
          </w:r>
        </w:sdtContent>
      </w:sdt>
      <w:r>
        <w:t>.</w:t>
      </w:r>
    </w:p>
    <w:p w14:paraId="3DC8023A" w14:textId="37D1AC10" w:rsidR="009D22C2" w:rsidRDefault="009D22C2" w:rsidP="002103B0">
      <w:r w:rsidRPr="009D22C2">
        <w:rPr>
          <w:b/>
        </w:rPr>
        <w:t>Minimum Necessary Access.</w:t>
      </w:r>
      <w:r>
        <w:t xml:space="preserve">  </w:t>
      </w:r>
      <w:r w:rsidR="00473EF7">
        <w:t>This term refers to the act of limiting access to protected health information during it use or disclosure from another covered entity or business associate, covered entities are required to take reasonable efforts to limit its access</w:t>
      </w:r>
      <w:sdt>
        <w:sdtPr>
          <w:id w:val="1333954011"/>
          <w:citation/>
        </w:sdtPr>
        <w:sdtContent>
          <w:r w:rsidR="00473EF7">
            <w:fldChar w:fldCharType="begin"/>
          </w:r>
          <w:r w:rsidR="00473EF7" w:rsidRPr="00473EF7">
            <w:instrText xml:space="preserve"> CITATION USD18 \l 2058 </w:instrText>
          </w:r>
          <w:r w:rsidR="00473EF7">
            <w:fldChar w:fldCharType="separate"/>
          </w:r>
          <w:r w:rsidR="00473EF7" w:rsidRPr="00473EF7">
            <w:rPr>
              <w:noProof/>
            </w:rPr>
            <w:t xml:space="preserve"> (U.S. Department of Human and Health Services, 2018)</w:t>
          </w:r>
          <w:r w:rsidR="00473EF7">
            <w:fldChar w:fldCharType="end"/>
          </w:r>
        </w:sdtContent>
      </w:sdt>
      <w:r w:rsidR="007E48B1">
        <w:t>.</w:t>
      </w:r>
    </w:p>
    <w:p w14:paraId="01C2BB95" w14:textId="17B66254" w:rsidR="002606A2" w:rsidRDefault="002606A2" w:rsidP="002103B0">
      <w:r w:rsidRPr="002606A2">
        <w:rPr>
          <w:b/>
        </w:rPr>
        <w:t>Administrative Safeguards.</w:t>
      </w:r>
      <w:r>
        <w:t xml:space="preserve">  Covered entities in accordance to security standards and general rules on HIPAA must implement policies and procedures to prevent, detect, contain, and correct security violations of protected health information</w:t>
      </w:r>
      <w:sdt>
        <w:sdtPr>
          <w:id w:val="-497574829"/>
          <w:citation/>
        </w:sdtPr>
        <w:sdtContent>
          <w:r>
            <w:fldChar w:fldCharType="begin"/>
          </w:r>
          <w:r w:rsidRPr="002606A2">
            <w:instrText xml:space="preserve"> CITATION USD181 \l 2058 </w:instrText>
          </w:r>
          <w:r>
            <w:fldChar w:fldCharType="separate"/>
          </w:r>
          <w:r w:rsidRPr="002606A2">
            <w:rPr>
              <w:noProof/>
            </w:rPr>
            <w:t xml:space="preserve"> (U.S. Department of Human and Health Services, 2018)</w:t>
          </w:r>
          <w:r>
            <w:fldChar w:fldCharType="end"/>
          </w:r>
        </w:sdtContent>
      </w:sdt>
      <w:r>
        <w:t>.</w:t>
      </w:r>
    </w:p>
    <w:p w14:paraId="238EEA12" w14:textId="44F63489" w:rsidR="002606A2" w:rsidRPr="009D22C2" w:rsidRDefault="002606A2" w:rsidP="002606A2">
      <w:r w:rsidRPr="002606A2">
        <w:rPr>
          <w:b/>
        </w:rPr>
        <w:t>Administrative Safeguards.</w:t>
      </w:r>
      <w:r>
        <w:t xml:space="preserve">  Covered entities in accordance to security standards and general rules on HIPAA must implement policies and procedures to </w:t>
      </w:r>
      <w:r>
        <w:t>limit physical access</w:t>
      </w:r>
      <w:r w:rsidR="00FB6873">
        <w:t xml:space="preserve"> and ensure proper access</w:t>
      </w:r>
      <w:bookmarkStart w:id="0" w:name="_GoBack"/>
      <w:bookmarkEnd w:id="0"/>
      <w:r>
        <w:t xml:space="preserve"> to its protected health care information systems and the facility of facilities on which they are housed, </w:t>
      </w:r>
      <w:sdt>
        <w:sdtPr>
          <w:id w:val="1738052378"/>
          <w:citation/>
        </w:sdtPr>
        <w:sdtContent>
          <w:r>
            <w:fldChar w:fldCharType="begin"/>
          </w:r>
          <w:r w:rsidRPr="002606A2">
            <w:instrText xml:space="preserve"> CITATION USD182 \l 2058 </w:instrText>
          </w:r>
          <w:r>
            <w:fldChar w:fldCharType="separate"/>
          </w:r>
          <w:r w:rsidRPr="002606A2">
            <w:rPr>
              <w:noProof/>
            </w:rPr>
            <w:t xml:space="preserve"> (U.S. Department of Human and Health Services, 2018)</w:t>
          </w:r>
          <w:r>
            <w:fldChar w:fldCharType="end"/>
          </w:r>
        </w:sdtContent>
      </w:sdt>
      <w:r>
        <w:t>.</w:t>
      </w:r>
    </w:p>
    <w:sdt>
      <w:sdtPr>
        <w:id w:val="-1745091305"/>
        <w:docPartObj>
          <w:docPartGallery w:val="Bibliographies"/>
          <w:docPartUnique/>
        </w:docPartObj>
      </w:sdtPr>
      <w:sdtEndPr>
        <w:rPr>
          <w:rFonts w:asciiTheme="minorHAnsi" w:eastAsiaTheme="minorEastAsia" w:hAnsiTheme="minorHAnsi" w:cstheme="minorBidi"/>
          <w:b w:val="0"/>
          <w:bCs w:val="0"/>
        </w:rPr>
      </w:sdtEndPr>
      <w:sdtContent>
        <w:p w14:paraId="6DF0DC9C" w14:textId="457F9EDF" w:rsidR="009C48E9" w:rsidRDefault="009C48E9">
          <w:pPr>
            <w:pStyle w:val="Heading1"/>
          </w:pPr>
          <w:r>
            <w:t>References</w:t>
          </w:r>
        </w:p>
        <w:sdt>
          <w:sdtPr>
            <w:id w:val="-573587230"/>
            <w:bibliography/>
          </w:sdtPr>
          <w:sdtContent>
            <w:p w14:paraId="28719083" w14:textId="77777777" w:rsidR="009C48E9" w:rsidRDefault="009C48E9" w:rsidP="009C48E9">
              <w:pPr>
                <w:pStyle w:val="Bibliography"/>
                <w:rPr>
                  <w:noProof/>
                </w:rPr>
              </w:pPr>
              <w:r>
                <w:fldChar w:fldCharType="begin"/>
              </w:r>
              <w:r>
                <w:instrText xml:space="preserve"> BIBLIOGRAPHY </w:instrText>
              </w:r>
              <w:r>
                <w:fldChar w:fldCharType="separate"/>
              </w:r>
              <w:r>
                <w:rPr>
                  <w:noProof/>
                </w:rPr>
                <w:t xml:space="preserve">Cornell Law School. (n.d.). </w:t>
              </w:r>
              <w:r>
                <w:rPr>
                  <w:i/>
                  <w:iCs/>
                  <w:noProof/>
                </w:rPr>
                <w:t>45 CFR 160.103 Definitions</w:t>
              </w:r>
              <w:r>
                <w:rPr>
                  <w:noProof/>
                </w:rPr>
                <w:t>. Retrieved November 4, 2018, from Legal Information Insitute: https://www.law.cornell.edu/cfr/text/45/160.103</w:t>
              </w:r>
            </w:p>
            <w:p w14:paraId="27C1CD14" w14:textId="77777777" w:rsidR="009C48E9" w:rsidRDefault="009C48E9" w:rsidP="009C48E9">
              <w:pPr>
                <w:pStyle w:val="Bibliography"/>
                <w:rPr>
                  <w:noProof/>
                </w:rPr>
              </w:pPr>
              <w:r>
                <w:rPr>
                  <w:noProof/>
                </w:rPr>
                <w:t xml:space="preserve">Gialanella, K., Mastrian, K., &amp; McGonigle, D. (2018). Legislative Aspects of Nurisng Informatics: HITECH and HIPAA. In D. McGonigle, &amp; K. Mastrian, </w:t>
              </w:r>
              <w:r>
                <w:rPr>
                  <w:i/>
                  <w:iCs/>
                  <w:noProof/>
                </w:rPr>
                <w:t>Nursing Informatics and the foundation of knowledge</w:t>
              </w:r>
              <w:r>
                <w:rPr>
                  <w:noProof/>
                </w:rPr>
                <w:t xml:space="preserve"> (4 ed., pp. 145-166). Burlington, MA: Jones &amp; Bartlett Learning.</w:t>
              </w:r>
            </w:p>
            <w:p w14:paraId="50E549C9" w14:textId="77777777" w:rsidR="009C48E9" w:rsidRDefault="009C48E9" w:rsidP="009C48E9">
              <w:pPr>
                <w:pStyle w:val="Bibliography"/>
                <w:rPr>
                  <w:noProof/>
                </w:rPr>
              </w:pPr>
              <w:r>
                <w:rPr>
                  <w:noProof/>
                </w:rPr>
                <w:t xml:space="preserve">U.S. Department of Health &amp; Human Services. (2013, July 26). </w:t>
              </w:r>
              <w:r>
                <w:rPr>
                  <w:i/>
                  <w:iCs/>
                  <w:noProof/>
                </w:rPr>
                <w:t>HITECH Breach Notification Interim Final Rule.</w:t>
              </w:r>
              <w:r>
                <w:rPr>
                  <w:noProof/>
                </w:rPr>
                <w:t xml:space="preserve"> Retrieved from Health Information Policy: https://www.gpo.gov/fdsys/pkg/FR-2009-08-24/pdf/E9-20169.pdf</w:t>
              </w:r>
            </w:p>
            <w:p w14:paraId="074C95D7" w14:textId="77777777" w:rsidR="009C48E9" w:rsidRDefault="009C48E9" w:rsidP="009C48E9">
              <w:pPr>
                <w:pStyle w:val="Bibliography"/>
                <w:rPr>
                  <w:noProof/>
                </w:rPr>
              </w:pPr>
              <w:r>
                <w:rPr>
                  <w:noProof/>
                </w:rPr>
                <w:t xml:space="preserve">U.S. Department of Health &amp; Human Services. (2013, July 26). </w:t>
              </w:r>
              <w:r>
                <w:rPr>
                  <w:i/>
                  <w:iCs/>
                  <w:noProof/>
                </w:rPr>
                <w:t>Summary of the HIPAA Privacy Rule</w:t>
              </w:r>
              <w:r>
                <w:rPr>
                  <w:noProof/>
                </w:rPr>
                <w:t>. Retrieved from Health Information Privacy: https://www.hhs.gov/hipaa/for-professionals/privacy/laws-regulations/index.html</w:t>
              </w:r>
            </w:p>
            <w:p w14:paraId="201D0936" w14:textId="77777777" w:rsidR="009C48E9" w:rsidRDefault="009C48E9" w:rsidP="009C48E9">
              <w:pPr>
                <w:pStyle w:val="Bibliography"/>
                <w:rPr>
                  <w:noProof/>
                </w:rPr>
              </w:pPr>
              <w:r>
                <w:rPr>
                  <w:noProof/>
                </w:rPr>
                <w:t xml:space="preserve">U.S. Department of Health &amp; Human Services. (2017, June 16). </w:t>
              </w:r>
              <w:r>
                <w:rPr>
                  <w:i/>
                  <w:iCs/>
                  <w:noProof/>
                </w:rPr>
                <w:t>Covered Entities and Business Associates</w:t>
              </w:r>
              <w:r>
                <w:rPr>
                  <w:noProof/>
                </w:rPr>
                <w:t>. Retrieved from Health Information Privacy: https://www.hhs.gov/hipaa/for-professionals/covered-entities/index.html</w:t>
              </w:r>
            </w:p>
            <w:p w14:paraId="14F727A0" w14:textId="77777777" w:rsidR="009C48E9" w:rsidRDefault="009C48E9" w:rsidP="009C48E9">
              <w:pPr>
                <w:pStyle w:val="Bibliography"/>
                <w:rPr>
                  <w:noProof/>
                </w:rPr>
              </w:pPr>
              <w:r>
                <w:rPr>
                  <w:noProof/>
                </w:rPr>
                <w:t xml:space="preserve">U.S. Department of Human &amp; Health Services. (2017, June 16). </w:t>
              </w:r>
              <w:r>
                <w:rPr>
                  <w:i/>
                  <w:iCs/>
                  <w:noProof/>
                </w:rPr>
                <w:t>HIPAA for Professionals</w:t>
              </w:r>
              <w:r>
                <w:rPr>
                  <w:noProof/>
                </w:rPr>
                <w:t>. Retrieved from Health Informtion Privacy: https://www.hhs.gov/hipaa/for-professionals/index.html</w:t>
              </w:r>
            </w:p>
            <w:p w14:paraId="68B7D1C8" w14:textId="77777777" w:rsidR="009C48E9" w:rsidRDefault="009C48E9" w:rsidP="009C48E9">
              <w:pPr>
                <w:pStyle w:val="Bibliography"/>
                <w:rPr>
                  <w:noProof/>
                </w:rPr>
              </w:pPr>
              <w:r>
                <w:rPr>
                  <w:noProof/>
                </w:rPr>
                <w:t xml:space="preserve">U.S. Department of Human and Health Services. (2018, 1 November). </w:t>
              </w:r>
              <w:r>
                <w:rPr>
                  <w:i/>
                  <w:iCs/>
                  <w:noProof/>
                </w:rPr>
                <w:t>§164.308 Administrative safeguards.</w:t>
              </w:r>
              <w:r>
                <w:rPr>
                  <w:noProof/>
                </w:rPr>
                <w:t xml:space="preserve"> Retrieved from Electronic Code of Federal Regulations: https://www.ecfr.gov/cgi-bin/text-</w:t>
              </w:r>
              <w:r>
                <w:rPr>
                  <w:noProof/>
                </w:rPr>
                <w:lastRenderedPageBreak/>
                <w:t>idx?SID=8abb0018656c16496ed599ecd15bf240&amp;mc=true&amp;node=se45.1.164_1308&amp;rgn=div8</w:t>
              </w:r>
            </w:p>
            <w:p w14:paraId="6EF7C962" w14:textId="77777777" w:rsidR="009C48E9" w:rsidRDefault="009C48E9" w:rsidP="009C48E9">
              <w:pPr>
                <w:pStyle w:val="Bibliography"/>
                <w:rPr>
                  <w:noProof/>
                </w:rPr>
              </w:pPr>
              <w:r>
                <w:rPr>
                  <w:noProof/>
                </w:rPr>
                <w:t xml:space="preserve">U.S. Department of Human and Health Services. (2018, November 1). </w:t>
              </w:r>
              <w:r>
                <w:rPr>
                  <w:i/>
                  <w:iCs/>
                  <w:noProof/>
                </w:rPr>
                <w:t>§164.310 Physical safeguards.</w:t>
              </w:r>
              <w:r>
                <w:rPr>
                  <w:noProof/>
                </w:rPr>
                <w:t xml:space="preserve"> Retrieved from Electronic Code of Federal Regulations: https://www.ecfr.gov/cgi-bin/text-idx?SID=481573c2f0ebad6c26e9420916604661&amp;mc=true&amp;node=se45.1.164_1310&amp;rgn=div8</w:t>
              </w:r>
            </w:p>
            <w:p w14:paraId="32F5ABBD" w14:textId="77777777" w:rsidR="009C48E9" w:rsidRDefault="009C48E9" w:rsidP="009C48E9">
              <w:pPr>
                <w:pStyle w:val="Bibliography"/>
                <w:rPr>
                  <w:noProof/>
                </w:rPr>
              </w:pPr>
              <w:r>
                <w:rPr>
                  <w:noProof/>
                </w:rPr>
                <w:t xml:space="preserve">U.S. Department of Human and Health Services. (2018, November 1). </w:t>
              </w:r>
              <w:r>
                <w:rPr>
                  <w:i/>
                  <w:iCs/>
                  <w:noProof/>
                </w:rPr>
                <w:t>§164.502 Uses and disclosures of protected health information: General rules.</w:t>
              </w:r>
              <w:r>
                <w:rPr>
                  <w:noProof/>
                </w:rPr>
                <w:t xml:space="preserve"> Retrieved from Electonic Code of Federal Regulations: https://www.ecfr.gov/cgi-bin/text-idx?SID=ae2230ebc5e3d112a20f1e24a19e0930&amp;mc=true&amp;node=se45.1.164_1502&amp;rgn=div8</w:t>
              </w:r>
            </w:p>
            <w:p w14:paraId="4C4C3B6A" w14:textId="0BAB4B97" w:rsidR="009C48E9" w:rsidRDefault="009C48E9" w:rsidP="009C48E9">
              <w:r>
                <w:rPr>
                  <w:b/>
                  <w:bCs/>
                  <w:noProof/>
                </w:rPr>
                <w:fldChar w:fldCharType="end"/>
              </w:r>
            </w:p>
          </w:sdtContent>
        </w:sdt>
      </w:sdtContent>
    </w:sdt>
    <w:p w14:paraId="4AE6DC0C" w14:textId="77777777" w:rsidR="002606A2" w:rsidRPr="009D22C2" w:rsidRDefault="002606A2" w:rsidP="002103B0"/>
    <w:sectPr w:rsidR="002606A2" w:rsidRPr="009D22C2">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2CC08" w14:textId="77777777" w:rsidR="002103B0" w:rsidRDefault="002103B0">
      <w:pPr>
        <w:spacing w:line="240" w:lineRule="auto"/>
      </w:pPr>
      <w:r>
        <w:separator/>
      </w:r>
    </w:p>
    <w:p w14:paraId="61CA2885" w14:textId="77777777" w:rsidR="002103B0" w:rsidRDefault="002103B0"/>
  </w:endnote>
  <w:endnote w:type="continuationSeparator" w:id="0">
    <w:p w14:paraId="3451502B" w14:textId="77777777" w:rsidR="002103B0" w:rsidRDefault="002103B0">
      <w:pPr>
        <w:spacing w:line="240" w:lineRule="auto"/>
      </w:pPr>
      <w:r>
        <w:continuationSeparator/>
      </w:r>
    </w:p>
    <w:p w14:paraId="2E7D4EB9" w14:textId="77777777" w:rsidR="002103B0" w:rsidRDefault="002103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7A1CE" w14:textId="77777777" w:rsidR="002103B0" w:rsidRDefault="002103B0">
      <w:pPr>
        <w:spacing w:line="240" w:lineRule="auto"/>
      </w:pPr>
      <w:r>
        <w:separator/>
      </w:r>
    </w:p>
    <w:p w14:paraId="09273E98" w14:textId="77777777" w:rsidR="002103B0" w:rsidRDefault="002103B0"/>
  </w:footnote>
  <w:footnote w:type="continuationSeparator" w:id="0">
    <w:p w14:paraId="280CA3B2" w14:textId="77777777" w:rsidR="002103B0" w:rsidRDefault="002103B0">
      <w:pPr>
        <w:spacing w:line="240" w:lineRule="auto"/>
      </w:pPr>
      <w:r>
        <w:continuationSeparator/>
      </w:r>
    </w:p>
    <w:p w14:paraId="07F0B81D" w14:textId="77777777" w:rsidR="002103B0" w:rsidRDefault="002103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96F4E" w14:textId="755804A0" w:rsidR="00E81978" w:rsidRDefault="00FB6873">
    <w:pPr>
      <w:pStyle w:val="Header"/>
    </w:pPr>
    <w:sdt>
      <w:sdtPr>
        <w:rPr>
          <w:rStyle w:val="Strong"/>
        </w:rPr>
        <w:alias w:val="Running head"/>
        <w:tag w:val=""/>
        <w:id w:val="12739865"/>
        <w:placeholder>
          <w:docPart w:val="48C0F18E032C438EADEF14B5FC9DE523"/>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2103B0">
          <w:rPr>
            <w:rStyle w:val="Strong"/>
          </w:rPr>
          <w:t>DEFINITIONS</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D3F41">
      <w:rPr>
        <w:rStyle w:val="Strong"/>
        <w:noProof/>
      </w:rPr>
      <w:t>8</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6B1A0" w14:textId="158F2E46" w:rsidR="00E81978" w:rsidRDefault="005D3A03">
    <w:pPr>
      <w:pStyle w:val="Header"/>
      <w:rPr>
        <w:rStyle w:val="Strong"/>
      </w:rPr>
    </w:pPr>
    <w:r>
      <w:t xml:space="preserve">Running head: </w:t>
    </w:r>
    <w:sdt>
      <w:sdtPr>
        <w:rPr>
          <w:rStyle w:val="Strong"/>
        </w:rPr>
        <w:alias w:val="Running head"/>
        <w:tag w:val=""/>
        <w:id w:val="-696842620"/>
        <w:placeholder>
          <w:docPart w:val="A0F0E100E221459F8B012B70FF06373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2103B0">
          <w:rPr>
            <w:rStyle w:val="Strong"/>
          </w:rPr>
          <w:t>DEFINITIONS</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D3F41">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3B0"/>
    <w:rsid w:val="000D3F41"/>
    <w:rsid w:val="002103B0"/>
    <w:rsid w:val="002606A2"/>
    <w:rsid w:val="00297F9C"/>
    <w:rsid w:val="00347195"/>
    <w:rsid w:val="00355DCA"/>
    <w:rsid w:val="003D6788"/>
    <w:rsid w:val="00473EF7"/>
    <w:rsid w:val="00551A02"/>
    <w:rsid w:val="005534FA"/>
    <w:rsid w:val="005D3A03"/>
    <w:rsid w:val="007E48B1"/>
    <w:rsid w:val="008002C0"/>
    <w:rsid w:val="0082764A"/>
    <w:rsid w:val="008C5323"/>
    <w:rsid w:val="00932881"/>
    <w:rsid w:val="009A6A3B"/>
    <w:rsid w:val="009C48E9"/>
    <w:rsid w:val="009D22C2"/>
    <w:rsid w:val="00A25CA0"/>
    <w:rsid w:val="00A3535E"/>
    <w:rsid w:val="00B823AA"/>
    <w:rsid w:val="00BA45DB"/>
    <w:rsid w:val="00BF4184"/>
    <w:rsid w:val="00C0601E"/>
    <w:rsid w:val="00C31D30"/>
    <w:rsid w:val="00CD6E39"/>
    <w:rsid w:val="00CF6E91"/>
    <w:rsid w:val="00D85B68"/>
    <w:rsid w:val="00E46D20"/>
    <w:rsid w:val="00E6004D"/>
    <w:rsid w:val="00E81978"/>
    <w:rsid w:val="00F379B7"/>
    <w:rsid w:val="00F525FA"/>
    <w:rsid w:val="00FB6873"/>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6FC1D"/>
  <w15:chartTrackingRefBased/>
  <w15:docId w15:val="{F52D4D8E-6E62-436B-AB2A-5D313D19F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4"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48527288">
      <w:bodyDiv w:val="1"/>
      <w:marLeft w:val="0"/>
      <w:marRight w:val="0"/>
      <w:marTop w:val="0"/>
      <w:marBottom w:val="0"/>
      <w:divBdr>
        <w:top w:val="none" w:sz="0" w:space="0" w:color="auto"/>
        <w:left w:val="none" w:sz="0" w:space="0" w:color="auto"/>
        <w:bottom w:val="none" w:sz="0" w:space="0" w:color="auto"/>
        <w:right w:val="none" w:sz="0" w:space="0" w:color="auto"/>
      </w:divBdr>
    </w:div>
    <w:div w:id="366569230">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03452602">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4173125">
      <w:bodyDiv w:val="1"/>
      <w:marLeft w:val="0"/>
      <w:marRight w:val="0"/>
      <w:marTop w:val="0"/>
      <w:marBottom w:val="0"/>
      <w:divBdr>
        <w:top w:val="none" w:sz="0" w:space="0" w:color="auto"/>
        <w:left w:val="none" w:sz="0" w:space="0" w:color="auto"/>
        <w:bottom w:val="none" w:sz="0" w:space="0" w:color="auto"/>
        <w:right w:val="none" w:sz="0" w:space="0" w:color="auto"/>
      </w:divBdr>
    </w:div>
    <w:div w:id="596602765">
      <w:bodyDiv w:val="1"/>
      <w:marLeft w:val="0"/>
      <w:marRight w:val="0"/>
      <w:marTop w:val="0"/>
      <w:marBottom w:val="0"/>
      <w:divBdr>
        <w:top w:val="none" w:sz="0" w:space="0" w:color="auto"/>
        <w:left w:val="none" w:sz="0" w:space="0" w:color="auto"/>
        <w:bottom w:val="none" w:sz="0" w:space="0" w:color="auto"/>
        <w:right w:val="none" w:sz="0" w:space="0" w:color="auto"/>
      </w:divBdr>
    </w:div>
    <w:div w:id="598176231">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43645139">
      <w:bodyDiv w:val="1"/>
      <w:marLeft w:val="0"/>
      <w:marRight w:val="0"/>
      <w:marTop w:val="0"/>
      <w:marBottom w:val="0"/>
      <w:divBdr>
        <w:top w:val="none" w:sz="0" w:space="0" w:color="auto"/>
        <w:left w:val="none" w:sz="0" w:space="0" w:color="auto"/>
        <w:bottom w:val="none" w:sz="0" w:space="0" w:color="auto"/>
        <w:right w:val="none" w:sz="0" w:space="0" w:color="auto"/>
      </w:divBdr>
    </w:div>
    <w:div w:id="857354615">
      <w:bodyDiv w:val="1"/>
      <w:marLeft w:val="0"/>
      <w:marRight w:val="0"/>
      <w:marTop w:val="0"/>
      <w:marBottom w:val="0"/>
      <w:divBdr>
        <w:top w:val="none" w:sz="0" w:space="0" w:color="auto"/>
        <w:left w:val="none" w:sz="0" w:space="0" w:color="auto"/>
        <w:bottom w:val="none" w:sz="0" w:space="0" w:color="auto"/>
        <w:right w:val="none" w:sz="0" w:space="0" w:color="auto"/>
      </w:divBdr>
    </w:div>
    <w:div w:id="1019310746">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52072059">
      <w:bodyDiv w:val="1"/>
      <w:marLeft w:val="0"/>
      <w:marRight w:val="0"/>
      <w:marTop w:val="0"/>
      <w:marBottom w:val="0"/>
      <w:divBdr>
        <w:top w:val="none" w:sz="0" w:space="0" w:color="auto"/>
        <w:left w:val="none" w:sz="0" w:space="0" w:color="auto"/>
        <w:bottom w:val="none" w:sz="0" w:space="0" w:color="auto"/>
        <w:right w:val="none" w:sz="0" w:space="0" w:color="auto"/>
      </w:divBdr>
    </w:div>
    <w:div w:id="1074202420">
      <w:bodyDiv w:val="1"/>
      <w:marLeft w:val="0"/>
      <w:marRight w:val="0"/>
      <w:marTop w:val="0"/>
      <w:marBottom w:val="0"/>
      <w:divBdr>
        <w:top w:val="none" w:sz="0" w:space="0" w:color="auto"/>
        <w:left w:val="none" w:sz="0" w:space="0" w:color="auto"/>
        <w:bottom w:val="none" w:sz="0" w:space="0" w:color="auto"/>
        <w:right w:val="none" w:sz="0" w:space="0" w:color="auto"/>
      </w:divBdr>
    </w:div>
    <w:div w:id="1172573606">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06813946">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1700401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789086969">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39423223">
      <w:bodyDiv w:val="1"/>
      <w:marLeft w:val="0"/>
      <w:marRight w:val="0"/>
      <w:marTop w:val="0"/>
      <w:marBottom w:val="0"/>
      <w:divBdr>
        <w:top w:val="none" w:sz="0" w:space="0" w:color="auto"/>
        <w:left w:val="none" w:sz="0" w:space="0" w:color="auto"/>
        <w:bottom w:val="none" w:sz="0" w:space="0" w:color="auto"/>
        <w:right w:val="none" w:sz="0" w:space="0" w:color="auto"/>
      </w:divBdr>
    </w:div>
    <w:div w:id="1841462846">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lor\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276CA3A700C470BAAA7D3BDC99B2D8E"/>
        <w:category>
          <w:name w:val="General"/>
          <w:gallery w:val="placeholder"/>
        </w:category>
        <w:types>
          <w:type w:val="bbPlcHdr"/>
        </w:types>
        <w:behaviors>
          <w:behavior w:val="content"/>
        </w:behaviors>
        <w:guid w:val="{5B4B3FAF-A02F-4036-8D64-AD6A667D6837}"/>
      </w:docPartPr>
      <w:docPartBody>
        <w:p w:rsidR="00000000" w:rsidRDefault="00716567">
          <w:pPr>
            <w:pStyle w:val="9276CA3A700C470BAAA7D3BDC99B2D8E"/>
          </w:pPr>
          <w:r>
            <w:t>[Title Here, up to 12 Words, on One to Two Lines]</w:t>
          </w:r>
        </w:p>
      </w:docPartBody>
    </w:docPart>
    <w:docPart>
      <w:docPartPr>
        <w:name w:val="DCB9FE5C72CC43D79A97ECA6EACE35D2"/>
        <w:category>
          <w:name w:val="General"/>
          <w:gallery w:val="placeholder"/>
        </w:category>
        <w:types>
          <w:type w:val="bbPlcHdr"/>
        </w:types>
        <w:behaviors>
          <w:behavior w:val="content"/>
        </w:behaviors>
        <w:guid w:val="{D10D6334-D13A-477F-B750-753AC3C8812B}"/>
      </w:docPartPr>
      <w:docPartBody>
        <w:p w:rsidR="00000000" w:rsidRDefault="00716567">
          <w:pPr>
            <w:pStyle w:val="DCB9FE5C72CC43D79A97ECA6EACE35D2"/>
          </w:pPr>
          <w:r>
            <w:t>[Title Here, up to 12 Words, on One to Two Lines]</w:t>
          </w:r>
        </w:p>
      </w:docPartBody>
    </w:docPart>
    <w:docPart>
      <w:docPartPr>
        <w:name w:val="48C0F18E032C438EADEF14B5FC9DE523"/>
        <w:category>
          <w:name w:val="General"/>
          <w:gallery w:val="placeholder"/>
        </w:category>
        <w:types>
          <w:type w:val="bbPlcHdr"/>
        </w:types>
        <w:behaviors>
          <w:behavior w:val="content"/>
        </w:behaviors>
        <w:guid w:val="{015B4796-32B3-47CE-83B5-CBD79B8849C8}"/>
      </w:docPartPr>
      <w:docPartBody>
        <w:p w:rsidR="00000000" w:rsidRDefault="00716567">
          <w:pPr>
            <w:pStyle w:val="48C0F18E032C438EADEF14B5FC9DE523"/>
          </w:pPr>
          <w:r w:rsidRPr="005D3A03">
            <w:t>Figures title:</w:t>
          </w:r>
        </w:p>
      </w:docPartBody>
    </w:docPart>
    <w:docPart>
      <w:docPartPr>
        <w:name w:val="A0F0E100E221459F8B012B70FF06373C"/>
        <w:category>
          <w:name w:val="General"/>
          <w:gallery w:val="placeholder"/>
        </w:category>
        <w:types>
          <w:type w:val="bbPlcHdr"/>
        </w:types>
        <w:behaviors>
          <w:behavior w:val="content"/>
        </w:behaviors>
        <w:guid w:val="{F5A97F7A-EA4C-4B5F-9BC0-D1FC7A7A7CD7}"/>
      </w:docPartPr>
      <w:docPartBody>
        <w:p w:rsidR="00000000" w:rsidRDefault="00716567">
          <w:pPr>
            <w:pStyle w:val="A0F0E100E221459F8B012B70FF06373C"/>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76CA3A700C470BAAA7D3BDC99B2D8E">
    <w:name w:val="9276CA3A700C470BAAA7D3BDC99B2D8E"/>
  </w:style>
  <w:style w:type="paragraph" w:customStyle="1" w:styleId="8198C921102648A4BE1B2208F0107D37">
    <w:name w:val="8198C921102648A4BE1B2208F0107D37"/>
  </w:style>
  <w:style w:type="paragraph" w:customStyle="1" w:styleId="6FB90787011342B998EB10A9D0265D21">
    <w:name w:val="6FB90787011342B998EB10A9D0265D21"/>
  </w:style>
  <w:style w:type="paragraph" w:customStyle="1" w:styleId="755E8881370C42E1A00A7DD6CCE16A9D">
    <w:name w:val="755E8881370C42E1A00A7DD6CCE16A9D"/>
  </w:style>
  <w:style w:type="paragraph" w:customStyle="1" w:styleId="8EBF4CDE52D04C17998538484C1294E8">
    <w:name w:val="8EBF4CDE52D04C17998538484C1294E8"/>
  </w:style>
  <w:style w:type="paragraph" w:customStyle="1" w:styleId="EE7051688ACF489F925B88226C85CF58">
    <w:name w:val="EE7051688ACF489F925B88226C85CF58"/>
  </w:style>
  <w:style w:type="character" w:styleId="Emphasis">
    <w:name w:val="Emphasis"/>
    <w:basedOn w:val="DefaultParagraphFont"/>
    <w:uiPriority w:val="4"/>
    <w:unhideWhenUsed/>
    <w:qFormat/>
    <w:rPr>
      <w:i/>
      <w:iCs/>
    </w:rPr>
  </w:style>
  <w:style w:type="paragraph" w:customStyle="1" w:styleId="8FE0BF877DFA4014914F49807B7BA015">
    <w:name w:val="8FE0BF877DFA4014914F49807B7BA015"/>
  </w:style>
  <w:style w:type="paragraph" w:customStyle="1" w:styleId="AA93E3017A464084AB7251D0DEBF6FC0">
    <w:name w:val="AA93E3017A464084AB7251D0DEBF6FC0"/>
  </w:style>
  <w:style w:type="paragraph" w:customStyle="1" w:styleId="DCB9FE5C72CC43D79A97ECA6EACE35D2">
    <w:name w:val="DCB9FE5C72CC43D79A97ECA6EACE35D2"/>
  </w:style>
  <w:style w:type="paragraph" w:customStyle="1" w:styleId="778731939A994530B76BC00797208280">
    <w:name w:val="778731939A994530B76BC00797208280"/>
  </w:style>
  <w:style w:type="paragraph" w:customStyle="1" w:styleId="F4555A46295E46B684246D76836119E6">
    <w:name w:val="F4555A46295E46B684246D76836119E6"/>
  </w:style>
  <w:style w:type="paragraph" w:customStyle="1" w:styleId="344BA1744C314C399FE78CDF2C6A802A">
    <w:name w:val="344BA1744C314C399FE78CDF2C6A802A"/>
  </w:style>
  <w:style w:type="paragraph" w:customStyle="1" w:styleId="A878AF7CD75B47F18E05A357DA2345E4">
    <w:name w:val="A878AF7CD75B47F18E05A357DA2345E4"/>
  </w:style>
  <w:style w:type="paragraph" w:customStyle="1" w:styleId="6E1B9424A0CA42A1AF6D3D69B672DE98">
    <w:name w:val="6E1B9424A0CA42A1AF6D3D69B672DE98"/>
  </w:style>
  <w:style w:type="paragraph" w:customStyle="1" w:styleId="818E406ECA734C1FA79C2DA3ACE34BA9">
    <w:name w:val="818E406ECA734C1FA79C2DA3ACE34BA9"/>
  </w:style>
  <w:style w:type="paragraph" w:customStyle="1" w:styleId="502A0082F3154E68B949F0039B0B81E2">
    <w:name w:val="502A0082F3154E68B949F0039B0B81E2"/>
  </w:style>
  <w:style w:type="paragraph" w:customStyle="1" w:styleId="A9F2F7217450455E83A550D0CF1AC331">
    <w:name w:val="A9F2F7217450455E83A550D0CF1AC331"/>
  </w:style>
  <w:style w:type="paragraph" w:customStyle="1" w:styleId="70302531C5484F7E86CE45BF0386449D">
    <w:name w:val="70302531C5484F7E86CE45BF0386449D"/>
  </w:style>
  <w:style w:type="paragraph" w:customStyle="1" w:styleId="C570B1B10C854E0CB390EE0C371B9ECD">
    <w:name w:val="C570B1B10C854E0CB390EE0C371B9ECD"/>
  </w:style>
  <w:style w:type="paragraph" w:customStyle="1" w:styleId="D53BA3F73BEC4797B743A2F7B11E16E8">
    <w:name w:val="D53BA3F73BEC4797B743A2F7B11E16E8"/>
  </w:style>
  <w:style w:type="paragraph" w:customStyle="1" w:styleId="A0458E58192F483DB7AB6E47D2249214">
    <w:name w:val="A0458E58192F483DB7AB6E47D2249214"/>
  </w:style>
  <w:style w:type="paragraph" w:customStyle="1" w:styleId="A7FBD4459B9E48A697B1E09D0B51331F">
    <w:name w:val="A7FBD4459B9E48A697B1E09D0B51331F"/>
  </w:style>
  <w:style w:type="paragraph" w:customStyle="1" w:styleId="09EAD53879ED400FB5ACD8AFC8DB5511">
    <w:name w:val="09EAD53879ED400FB5ACD8AFC8DB5511"/>
  </w:style>
  <w:style w:type="paragraph" w:customStyle="1" w:styleId="AEF97918983845DC8D567D338A37D4FF">
    <w:name w:val="AEF97918983845DC8D567D338A37D4FF"/>
  </w:style>
  <w:style w:type="paragraph" w:customStyle="1" w:styleId="8D6163EE2F7B41969FA68734F2441D29">
    <w:name w:val="8D6163EE2F7B41969FA68734F2441D29"/>
  </w:style>
  <w:style w:type="paragraph" w:customStyle="1" w:styleId="A663B19167D247D28564F29D0CA7BC3F">
    <w:name w:val="A663B19167D247D28564F29D0CA7BC3F"/>
  </w:style>
  <w:style w:type="paragraph" w:customStyle="1" w:styleId="76DC339440A54C35814D3933194E7EFC">
    <w:name w:val="76DC339440A54C35814D3933194E7EFC"/>
  </w:style>
  <w:style w:type="paragraph" w:customStyle="1" w:styleId="65514AFA05354268B6BA1B02FD8ECECB">
    <w:name w:val="65514AFA05354268B6BA1B02FD8ECECB"/>
  </w:style>
  <w:style w:type="paragraph" w:customStyle="1" w:styleId="51DC103C4EF64AB2BCB68FB7120401B3">
    <w:name w:val="51DC103C4EF64AB2BCB68FB7120401B3"/>
  </w:style>
  <w:style w:type="paragraph" w:customStyle="1" w:styleId="6F8D435D68D149988E3C3345FB4B0866">
    <w:name w:val="6F8D435D68D149988E3C3345FB4B0866"/>
  </w:style>
  <w:style w:type="paragraph" w:customStyle="1" w:styleId="5329E5DBBA314EC0A85E04A8EECB3D84">
    <w:name w:val="5329E5DBBA314EC0A85E04A8EECB3D84"/>
  </w:style>
  <w:style w:type="paragraph" w:customStyle="1" w:styleId="437BFC1D4B3D47ACA95D8A40CD1BCFFE">
    <w:name w:val="437BFC1D4B3D47ACA95D8A40CD1BCFFE"/>
  </w:style>
  <w:style w:type="paragraph" w:customStyle="1" w:styleId="137647B7DE3E4D1086E825827F8E08A7">
    <w:name w:val="137647B7DE3E4D1086E825827F8E08A7"/>
  </w:style>
  <w:style w:type="paragraph" w:customStyle="1" w:styleId="347258BC3B294CECA763EF1F36572952">
    <w:name w:val="347258BC3B294CECA763EF1F36572952"/>
  </w:style>
  <w:style w:type="paragraph" w:customStyle="1" w:styleId="CAA53C3E645F45CB9936A89CF526294D">
    <w:name w:val="CAA53C3E645F45CB9936A89CF526294D"/>
  </w:style>
  <w:style w:type="paragraph" w:customStyle="1" w:styleId="CCEBEFA084A540518E13771097241D08">
    <w:name w:val="CCEBEFA084A540518E13771097241D08"/>
  </w:style>
  <w:style w:type="paragraph" w:customStyle="1" w:styleId="B51BD11885C74EF1BFC44F042609EE13">
    <w:name w:val="B51BD11885C74EF1BFC44F042609EE13"/>
  </w:style>
  <w:style w:type="paragraph" w:customStyle="1" w:styleId="5FDA912D20DF4AA1984E2688FF6E7231">
    <w:name w:val="5FDA912D20DF4AA1984E2688FF6E7231"/>
  </w:style>
  <w:style w:type="paragraph" w:customStyle="1" w:styleId="DC0AED51F089447D8AF4D24A0490AC9C">
    <w:name w:val="DC0AED51F089447D8AF4D24A0490AC9C"/>
  </w:style>
  <w:style w:type="paragraph" w:customStyle="1" w:styleId="E539BBE6D9154D508652DF76C7D9C22C">
    <w:name w:val="E539BBE6D9154D508652DF76C7D9C22C"/>
  </w:style>
  <w:style w:type="paragraph" w:customStyle="1" w:styleId="9CA886027C7744B39C2CA8CEA3638F63">
    <w:name w:val="9CA886027C7744B39C2CA8CEA3638F63"/>
  </w:style>
  <w:style w:type="paragraph" w:customStyle="1" w:styleId="F63CDAE8B1724BF2A84CCDCA138B949B">
    <w:name w:val="F63CDAE8B1724BF2A84CCDCA138B949B"/>
  </w:style>
  <w:style w:type="paragraph" w:customStyle="1" w:styleId="E6561CE9D37443C5BA169F7420274B79">
    <w:name w:val="E6561CE9D37443C5BA169F7420274B79"/>
  </w:style>
  <w:style w:type="paragraph" w:customStyle="1" w:styleId="5EE927025D0F43F580CCA03800FDD9D1">
    <w:name w:val="5EE927025D0F43F580CCA03800FDD9D1"/>
  </w:style>
  <w:style w:type="paragraph" w:customStyle="1" w:styleId="ABD6DA013B6B4EBAAFDC6BFBE25D0147">
    <w:name w:val="ABD6DA013B6B4EBAAFDC6BFBE25D0147"/>
  </w:style>
  <w:style w:type="paragraph" w:customStyle="1" w:styleId="CC9D32229C4F4F6F892CD1F8F75186F0">
    <w:name w:val="CC9D32229C4F4F6F892CD1F8F75186F0"/>
  </w:style>
  <w:style w:type="paragraph" w:customStyle="1" w:styleId="7868F857DCC84AA9AC7A1DB8BBCE9F95">
    <w:name w:val="7868F857DCC84AA9AC7A1DB8BBCE9F95"/>
  </w:style>
  <w:style w:type="paragraph" w:customStyle="1" w:styleId="000D613813584A7E9DC38D226DBC1098">
    <w:name w:val="000D613813584A7E9DC38D226DBC1098"/>
  </w:style>
  <w:style w:type="paragraph" w:customStyle="1" w:styleId="DFB100E5D81241BEB07DF3F8B6C8A54E">
    <w:name w:val="DFB100E5D81241BEB07DF3F8B6C8A54E"/>
  </w:style>
  <w:style w:type="paragraph" w:customStyle="1" w:styleId="89828A2E683B4598A798038913A0AE50">
    <w:name w:val="89828A2E683B4598A798038913A0AE50"/>
  </w:style>
  <w:style w:type="paragraph" w:customStyle="1" w:styleId="B805F92F480749CCBE9081AE9F8B80CF">
    <w:name w:val="B805F92F480749CCBE9081AE9F8B80CF"/>
  </w:style>
  <w:style w:type="paragraph" w:customStyle="1" w:styleId="92B482070CF84187BB99FBACA3543851">
    <w:name w:val="92B482070CF84187BB99FBACA3543851"/>
  </w:style>
  <w:style w:type="paragraph" w:customStyle="1" w:styleId="72CDC50F1C0E4777B2E13C257A672344">
    <w:name w:val="72CDC50F1C0E4777B2E13C257A672344"/>
  </w:style>
  <w:style w:type="paragraph" w:customStyle="1" w:styleId="4045B131E69C40BEBB66EF263DE5F24C">
    <w:name w:val="4045B131E69C40BEBB66EF263DE5F24C"/>
  </w:style>
  <w:style w:type="paragraph" w:customStyle="1" w:styleId="1C06F2DD51CA43D09CA0359E1074B4B9">
    <w:name w:val="1C06F2DD51CA43D09CA0359E1074B4B9"/>
  </w:style>
  <w:style w:type="paragraph" w:customStyle="1" w:styleId="F23B4DCE689C49F6A686ACD36A843080">
    <w:name w:val="F23B4DCE689C49F6A686ACD36A843080"/>
  </w:style>
  <w:style w:type="paragraph" w:customStyle="1" w:styleId="7BE5D66FC54A409289EAABA23BFA714B">
    <w:name w:val="7BE5D66FC54A409289EAABA23BFA714B"/>
  </w:style>
  <w:style w:type="paragraph" w:customStyle="1" w:styleId="E1194D3594B04ABB9926F9413BE6BCBF">
    <w:name w:val="E1194D3594B04ABB9926F9413BE6BCBF"/>
  </w:style>
  <w:style w:type="paragraph" w:customStyle="1" w:styleId="13732C766C7842B6928BF825A75B5CA1">
    <w:name w:val="13732C766C7842B6928BF825A75B5CA1"/>
  </w:style>
  <w:style w:type="paragraph" w:customStyle="1" w:styleId="8034BC9503F24BE1A00452C5B3982BBB">
    <w:name w:val="8034BC9503F24BE1A00452C5B3982BBB"/>
  </w:style>
  <w:style w:type="paragraph" w:customStyle="1" w:styleId="A5873055504A4B728AAE694E3E6ACC09">
    <w:name w:val="A5873055504A4B728AAE694E3E6ACC09"/>
  </w:style>
  <w:style w:type="paragraph" w:customStyle="1" w:styleId="48C0F18E032C438EADEF14B5FC9DE523">
    <w:name w:val="48C0F18E032C438EADEF14B5FC9DE523"/>
  </w:style>
  <w:style w:type="paragraph" w:customStyle="1" w:styleId="A0F0E100E221459F8B012B70FF06373C">
    <w:name w:val="A0F0E100E221459F8B012B70FF0637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DEFINITIONS</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USD171</b:Tag>
    <b:SourceType>InternetSite</b:SourceType>
    <b:Guid>{295F229C-B5DC-4CEE-A373-4F88DD50F827}</b:Guid>
    <b:Title>HIPAA for Professionals</b:Title>
    <b:Year>2017</b:Year>
    <b:Month>June</b:Month>
    <b:Day>16</b:Day>
    <b:InternetSiteTitle>Health Informtion Privacy</b:InternetSiteTitle>
    <b:URL>https://www.hhs.gov/hipaa/for-professionals/index.html</b:URL>
    <b:Author>
      <b:Author>
        <b:Corporate>U.S. Department of Human &amp; Health Services</b:Corporate>
      </b:Author>
    </b:Author>
    <b:RefOrder>1</b:RefOrder>
  </b:Source>
  <b:Source>
    <b:Tag>Gia18</b:Tag>
    <b:SourceType>BookSection</b:SourceType>
    <b:Guid>{14A7AE81-55DD-4B4C-8FF1-C4854253A1BC}</b:Guid>
    <b:Title>Legislative Aspects of Nurisng Informatics: HITECH and HIPAA</b:Title>
    <b:Year>2018</b:Year>
    <b:Author>
      <b:Author>
        <b:NameList>
          <b:Person>
            <b:Last>Gialanella</b:Last>
            <b:First>KM</b:First>
          </b:Person>
          <b:Person>
            <b:Last>Mastrian</b:Last>
            <b:First>K</b:First>
          </b:Person>
          <b:Person>
            <b:Last>McGonigle</b:Last>
            <b:First>D</b:First>
          </b:Person>
        </b:NameList>
      </b:Author>
      <b:BookAuthor>
        <b:NameList>
          <b:Person>
            <b:Last>McGonigle</b:Last>
            <b:First>D</b:First>
          </b:Person>
          <b:Person>
            <b:Last>Mastrian</b:Last>
            <b:First>K</b:First>
          </b:Person>
        </b:NameList>
      </b:BookAuthor>
    </b:Author>
    <b:BookTitle>Nursing Informatics and the foundation of knowledge</b:BookTitle>
    <b:Pages>145-166</b:Pages>
    <b:City>Burlington, MA</b:City>
    <b:Publisher>Jones &amp; Bartlett Learning</b:Publisher>
    <b:Edition>4</b:Edition>
    <b:RefOrder>2</b:RefOrder>
  </b:Source>
  <b:Source>
    <b:Tag>USD13</b:Tag>
    <b:SourceType>DocumentFromInternetSite</b:SourceType>
    <b:Guid>{1D155DD5-9F17-4286-A8E9-9541BF8A5CDE}</b:Guid>
    <b:Title>HITECH Breach Notification Interim Final Rule</b:Title>
    <b:Year>2013</b:Year>
    <b:Author>
      <b:Author>
        <b:Corporate>U.S. Department of Health &amp; Human Services</b:Corporate>
      </b:Author>
    </b:Author>
    <b:InternetSiteTitle>Health Information Policy</b:InternetSiteTitle>
    <b:Month>July</b:Month>
    <b:Day>26</b:Day>
    <b:URL>https://www.gpo.gov/fdsys/pkg/FR-2009-08-24/pdf/E9-20169.pdf</b:URL>
    <b:RefOrder>3</b:RefOrder>
  </b:Source>
  <b:Source>
    <b:Tag>USD17</b:Tag>
    <b:SourceType>InternetSite</b:SourceType>
    <b:Guid>{0E56F585-9B40-466D-8579-134D1650059D}</b:Guid>
    <b:Author>
      <b:Author>
        <b:Corporate>U.S. Department of Health &amp; Human Services</b:Corporate>
      </b:Author>
    </b:Author>
    <b:Title>Covered Entities and Business Associates</b:Title>
    <b:InternetSiteTitle>Health Information Privacy</b:InternetSiteTitle>
    <b:Year>2017</b:Year>
    <b:Month>June</b:Month>
    <b:Day>16</b:Day>
    <b:URL>https://www.hhs.gov/hipaa/for-professionals/covered-entities/index.html</b:URL>
    <b:RefOrder>4</b:RefOrder>
  </b:Source>
  <b:Source>
    <b:Tag>Cor18</b:Tag>
    <b:SourceType>InternetSite</b:SourceType>
    <b:Guid>{CB0CDE6A-47F2-40D2-A26F-CAED0326D8BE}</b:Guid>
    <b:Author>
      <b:Author>
        <b:Corporate>Cornell Law School</b:Corporate>
      </b:Author>
      <b:BookAuthor>
        <b:NameList>
          <b:Person>
            <b:Last>Insitute</b:Last>
            <b:First>Legal</b:First>
            <b:Middle>Information</b:Middle>
          </b:Person>
        </b:NameList>
      </b:BookAuthor>
    </b:Author>
    <b:Title>45 CFR 160.103 Definitions</b:Title>
    <b:InternetSiteTitle>Legal Information Insitute</b:InternetSiteTitle>
    <b:URL>https://www.law.cornell.edu/cfr/text/45/160.103</b:URL>
    <b:YearAccessed>2018</b:YearAccessed>
    <b:MonthAccessed>November</b:MonthAccessed>
    <b:DayAccessed>4</b:DayAccessed>
    <b:RefOrder>5</b:RefOrder>
  </b:Source>
  <b:Source>
    <b:Tag>USD131</b:Tag>
    <b:SourceType>InternetSite</b:SourceType>
    <b:Guid>{8A556F8C-1E2A-43AE-9D56-6ED388D1E726}</b:Guid>
    <b:Author>
      <b:Author>
        <b:Corporate>U.S. Department of Health &amp; Human Services</b:Corporate>
      </b:Author>
    </b:Author>
    <b:Title>Summary of the HIPAA Privacy Rule</b:Title>
    <b:InternetSiteTitle>Health Information Privacy</b:InternetSiteTitle>
    <b:Year>2013</b:Year>
    <b:Month>July</b:Month>
    <b:Day>26</b:Day>
    <b:URL>https://www.hhs.gov/hipaa/for-professionals/privacy/laws-regulations/index.html</b:URL>
    <b:RefOrder>6</b:RefOrder>
  </b:Source>
  <b:Source>
    <b:Tag>USD18</b:Tag>
    <b:SourceType>DocumentFromInternetSite</b:SourceType>
    <b:Guid>{B8A4F486-48F3-4238-A5B0-F9E1F42339C8}</b:Guid>
    <b:Author>
      <b:Author>
        <b:Corporate>U.S. Department of Human and Health Services</b:Corporate>
      </b:Author>
    </b:Author>
    <b:Title>§164.502   Uses and disclosures of protected health information: General rules</b:Title>
    <b:InternetSiteTitle>Electonic Code of Federal Regulations</b:InternetSiteTitle>
    <b:Year>2018</b:Year>
    <b:Month>November</b:Month>
    <b:Day>1</b:Day>
    <b:URL>https://www.ecfr.gov/cgi-bin/text-idx?SID=ae2230ebc5e3d112a20f1e24a19e0930&amp;mc=true&amp;node=se45.1.164_1502&amp;rgn=div8</b:URL>
    <b:RefOrder>7</b:RefOrder>
  </b:Source>
  <b:Source>
    <b:Tag>USD181</b:Tag>
    <b:SourceType>DocumentFromInternetSite</b:SourceType>
    <b:Guid>{3B0C8FE0-2A69-46B4-AF2A-AFE2CD482E81}</b:Guid>
    <b:Author>
      <b:Author>
        <b:Corporate>U.S. Department of Human and Health Services</b:Corporate>
      </b:Author>
    </b:Author>
    <b:Title>§164.308   Administrative safeguards</b:Title>
    <b:InternetSiteTitle>Electronic Code of Federal Regulations</b:InternetSiteTitle>
    <b:Year>2018</b:Year>
    <b:Month>1</b:Month>
    <b:Day>November</b:Day>
    <b:URL>https://www.ecfr.gov/cgi-bin/text-idx?SID=8abb0018656c16496ed599ecd15bf240&amp;mc=true&amp;node=se45.1.164_1308&amp;rgn=div8</b:URL>
    <b:RefOrder>8</b:RefOrder>
  </b:Source>
  <b:Source>
    <b:Tag>USD182</b:Tag>
    <b:SourceType>DocumentFromInternetSite</b:SourceType>
    <b:Guid>{8AD3C828-F08F-497E-AAEA-47834B026A21}</b:Guid>
    <b:Author>
      <b:Author>
        <b:Corporate>U.S. Department of Human and Health Services</b:Corporate>
      </b:Author>
    </b:Author>
    <b:Title>§164.310   Physical safeguards</b:Title>
    <b:InternetSiteTitle>Electronic Code of Federal Regulations</b:InternetSiteTitle>
    <b:Year>2018</b:Year>
    <b:Month>November</b:Month>
    <b:Day>1</b:Day>
    <b:URL>https://www.ecfr.gov/cgi-bin/text-idx?SID=481573c2f0ebad6c26e9420916604661&amp;mc=true&amp;node=se45.1.164_1310&amp;rgn=div8</b:URL>
    <b:RefOrder>9</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8CA972-9F03-40DC-9461-2C5C2CA1C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177</TotalTime>
  <Pages>5</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Definitions</vt:lpstr>
    </vt:vector>
  </TitlesOfParts>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Definitions</dc:title>
  <dc:subject/>
  <dc:creator>Karen Flores</dc:creator>
  <cp:keywords>a76b1891-2365-454a-a064-b1c986a18aac</cp:keywords>
  <dc:description/>
  <cp:lastModifiedBy>Karen Flores</cp:lastModifiedBy>
  <cp:revision>5</cp:revision>
  <dcterms:created xsi:type="dcterms:W3CDTF">2018-11-04T23:30:00Z</dcterms:created>
  <dcterms:modified xsi:type="dcterms:W3CDTF">2018-11-05T02:30:00Z</dcterms:modified>
</cp:coreProperties>
</file>