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6D42C" w14:textId="11C60E0F" w:rsidR="00E81978" w:rsidRDefault="00743633">
      <w:pPr>
        <w:pStyle w:val="Title"/>
      </w:pPr>
      <w:sdt>
        <w:sdtPr>
          <w:alias w:val="Title:"/>
          <w:tag w:val="Title:"/>
          <w:id w:val="726351117"/>
          <w:placeholder>
            <w:docPart w:val="A6CA31C93AFB416293F1D5A2FB124D8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3474E9">
            <w:t>Health Care Data Breach Notification Process</w:t>
          </w:r>
        </w:sdtContent>
      </w:sdt>
    </w:p>
    <w:p w14:paraId="4926609E" w14:textId="3BFCCB3F" w:rsidR="00B823AA" w:rsidRDefault="003474E9" w:rsidP="00B823AA">
      <w:pPr>
        <w:pStyle w:val="Title2"/>
      </w:pPr>
      <w:r>
        <w:t>Karen Flores</w:t>
      </w:r>
    </w:p>
    <w:p w14:paraId="605575EC" w14:textId="38A4B785" w:rsidR="00E81978" w:rsidRDefault="003474E9" w:rsidP="00B823AA">
      <w:pPr>
        <w:pStyle w:val="Title2"/>
      </w:pPr>
      <w:r>
        <w:t>University of San Diego</w:t>
      </w:r>
    </w:p>
    <w:p w14:paraId="4999C77C" w14:textId="279ADAFD" w:rsidR="00E81978" w:rsidRDefault="00E81978">
      <w:pPr>
        <w:pStyle w:val="Title"/>
      </w:pPr>
    </w:p>
    <w:p w14:paraId="2B86B757" w14:textId="1B172036" w:rsidR="00E81978" w:rsidRDefault="00E81978" w:rsidP="00B823AA">
      <w:pPr>
        <w:pStyle w:val="Title2"/>
      </w:pPr>
    </w:p>
    <w:p w14:paraId="729FCBA0" w14:textId="1C0E194C" w:rsidR="00E81978" w:rsidRDefault="00743633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DB0F3719023541369687D5280464F2F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3474E9">
            <w:t>Health Care Data Breach Notification Process</w:t>
          </w:r>
        </w:sdtContent>
      </w:sdt>
    </w:p>
    <w:p w14:paraId="77539D14" w14:textId="468D523F" w:rsidR="003474E9" w:rsidRDefault="003474E9" w:rsidP="003474E9">
      <w:r>
        <w:t xml:space="preserve">Upon discovery or suspect of a breach covered entity (CE) must treat the breach as discovered.  This will start the notification clock.  In case of a breach event, affected individuals must be notified with a written notice on all cases in a period no longer than 90 calendar days.  The notification should include: a brief description; the types of unsecured health information involved; steps </w:t>
      </w:r>
      <w:r>
        <w:t>to follow</w:t>
      </w:r>
      <w:r>
        <w:t xml:space="preserve">; brief description </w:t>
      </w:r>
      <w:r>
        <w:t>investigation</w:t>
      </w:r>
      <w:r>
        <w:t xml:space="preserve">, </w:t>
      </w:r>
      <w:r>
        <w:t>leverage measures and preventive measures</w:t>
      </w:r>
      <w:r>
        <w:t>; and, contact procedures for individuals</w:t>
      </w:r>
      <w:r>
        <w:t xml:space="preserve"> (</w:t>
      </w:r>
      <w:r>
        <w:t>toll-free number, e-mail address, website, or postal address</w:t>
      </w:r>
      <w:r>
        <w:t>)</w:t>
      </w:r>
      <w:r>
        <w:t xml:space="preserve"> (U.S. Department of Health &amp; Human Services, 2013).  In case of breach event of less than 10 individuals, CE can provide a substitute notice through alternative means</w:t>
      </w:r>
      <w:r>
        <w:t xml:space="preserve"> (</w:t>
      </w:r>
      <w:r>
        <w:t>written notice, telephone, or other</w:t>
      </w:r>
      <w:r>
        <w:t>)</w:t>
      </w:r>
      <w:r>
        <w:t>.  In case of a breach event that involves more than 10 individuals, CE can post notice on his website or through a noticeable hyperlink.  CE is also required to provide a toll-free phone number that should be active for 90 days.  In the case of large groups of affected individuals on different jurisdictions or States, a notification should be done over prominent media outlets serving the State or jurisdiction of the affected individuals</w:t>
      </w:r>
      <w:sdt>
        <w:sdtPr>
          <w:id w:val="-2005265477"/>
          <w:citation/>
        </w:sdtPr>
        <w:sdtContent>
          <w:r>
            <w:fldChar w:fldCharType="begin"/>
          </w:r>
          <w:r w:rsidRPr="003474E9">
            <w:instrText xml:space="preserve"> CITATION USD13 \l 2058 </w:instrText>
          </w:r>
          <w:r>
            <w:fldChar w:fldCharType="separate"/>
          </w:r>
          <w:r w:rsidR="00DF0681">
            <w:rPr>
              <w:noProof/>
            </w:rPr>
            <w:t xml:space="preserve"> </w:t>
          </w:r>
          <w:r w:rsidR="00DF0681" w:rsidRPr="00DF0681">
            <w:rPr>
              <w:noProof/>
            </w:rPr>
            <w:t>(U.S. Department of Health &amp; Human Services, 2013)</w:t>
          </w:r>
          <w:r>
            <w:fldChar w:fldCharType="end"/>
          </w:r>
        </w:sdtContent>
      </w:sdt>
      <w:r>
        <w:t>.</w:t>
      </w:r>
    </w:p>
    <w:p w14:paraId="023B75BA" w14:textId="31E3FC80" w:rsidR="00E81978" w:rsidRDefault="003474E9">
      <w:r>
        <w:t>In case of breach</w:t>
      </w:r>
      <w:r>
        <w:t xml:space="preserve"> events</w:t>
      </w:r>
      <w:r>
        <w:t xml:space="preserve"> that involve less than 500 individuals, CE must maintain a log or other documentation of the breaches.  This information should be submitted annually and no later than 60 days after the end of the calendar year</w:t>
      </w:r>
      <w:r>
        <w:t xml:space="preserve"> to the Department of Health and Human Services</w:t>
      </w:r>
      <w:sdt>
        <w:sdtPr>
          <w:id w:val="-1402370016"/>
          <w:citation/>
        </w:sdtPr>
        <w:sdtContent>
          <w:r>
            <w:fldChar w:fldCharType="begin"/>
          </w:r>
          <w:r w:rsidRPr="003474E9">
            <w:instrText xml:space="preserve"> CITATION USD13 \l 2058 </w:instrText>
          </w:r>
          <w:r>
            <w:fldChar w:fldCharType="separate"/>
          </w:r>
          <w:r w:rsidR="00DF0681">
            <w:rPr>
              <w:noProof/>
            </w:rPr>
            <w:t xml:space="preserve"> </w:t>
          </w:r>
          <w:r w:rsidR="00DF0681" w:rsidRPr="00DF0681">
            <w:rPr>
              <w:noProof/>
            </w:rPr>
            <w:t>(U.S. Department of Health &amp; Human Services, 2013)</w:t>
          </w:r>
          <w:r>
            <w:fldChar w:fldCharType="end"/>
          </w:r>
        </w:sdtContent>
      </w:sdt>
      <w:r>
        <w:t>.  In case of a breach affecting more than 500 individuals, the CE must provide notification to the secretary immediately through the website provided by HHS</w:t>
      </w:r>
      <w:sdt>
        <w:sdtPr>
          <w:id w:val="-1498953946"/>
          <w:citation/>
        </w:sdtPr>
        <w:sdtContent>
          <w:r>
            <w:fldChar w:fldCharType="begin"/>
          </w:r>
          <w:r w:rsidRPr="003E713C">
            <w:instrText xml:space="preserve"> CITATION USD13 \l 2058 </w:instrText>
          </w:r>
          <w:r>
            <w:fldChar w:fldCharType="separate"/>
          </w:r>
          <w:r w:rsidR="00DF0681">
            <w:rPr>
              <w:noProof/>
            </w:rPr>
            <w:t xml:space="preserve"> </w:t>
          </w:r>
          <w:r w:rsidR="00DF0681" w:rsidRPr="00DF0681">
            <w:rPr>
              <w:noProof/>
            </w:rPr>
            <w:t>(U.S. Department of Health &amp; Human Services, 2013)</w:t>
          </w:r>
          <w:r>
            <w:fldChar w:fldCharType="end"/>
          </w:r>
        </w:sdtContent>
      </w:sdt>
      <w:r>
        <w:t>.  The steps for the breach notification are described in the</w:t>
      </w:r>
      <w:r w:rsidR="00DF0681">
        <w:t xml:space="preserve"> </w:t>
      </w:r>
      <w:r w:rsidR="00DF0681">
        <w:fldChar w:fldCharType="begin"/>
      </w:r>
      <w:r w:rsidR="00DF0681">
        <w:instrText xml:space="preserve"> REF _Ref529814509 \h </w:instrText>
      </w:r>
      <w:r w:rsidR="00DF0681">
        <w:fldChar w:fldCharType="separate"/>
      </w:r>
      <w:r w:rsidR="00DF0681">
        <w:t xml:space="preserve">Figure </w:t>
      </w:r>
      <w:r w:rsidR="00DF0681">
        <w:rPr>
          <w:noProof/>
        </w:rPr>
        <w:t>1</w:t>
      </w:r>
      <w:r w:rsidR="00DF0681">
        <w:t>.  Reporting HIPAA Breach Event Cross Functional Flow Chart</w:t>
      </w:r>
      <w:r w:rsidR="00DF0681">
        <w:fldChar w:fldCharType="end"/>
      </w:r>
      <w:r w:rsidR="00DF0681">
        <w:t>.</w:t>
      </w:r>
    </w:p>
    <w:sdt>
      <w:sdtPr>
        <w:rPr>
          <w:rFonts w:asciiTheme="minorHAnsi" w:eastAsiaTheme="minorEastAsia" w:hAnsiTheme="minorHAnsi" w:cstheme="minorBidi"/>
        </w:rPr>
        <w:id w:val="62297111"/>
        <w:docPartObj>
          <w:docPartGallery w:val="Bibliographies"/>
          <w:docPartUnique/>
        </w:docPartObj>
      </w:sdtPr>
      <w:sdtEndPr/>
      <w:sdtContent>
        <w:p w14:paraId="3E201672" w14:textId="77777777" w:rsidR="00E81978" w:rsidRDefault="005D3A03">
          <w:pPr>
            <w:pStyle w:val="SectionTitle"/>
          </w:pPr>
          <w:r>
            <w:t>References</w:t>
          </w:r>
        </w:p>
        <w:p w14:paraId="0B9733A5" w14:textId="77777777" w:rsidR="00DF0681" w:rsidRDefault="00C31D30" w:rsidP="00DF0681">
          <w:pPr>
            <w:pStyle w:val="Bibliography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 w:rsidR="00DF0681">
            <w:rPr>
              <w:noProof/>
            </w:rPr>
            <w:t xml:space="preserve">U.S. Department of Health &amp; Human Services. (2013, July 26). </w:t>
          </w:r>
          <w:r w:rsidR="00DF0681">
            <w:rPr>
              <w:i/>
              <w:iCs/>
              <w:noProof/>
            </w:rPr>
            <w:t>HITECH Breach Notification Interim Final Rule.</w:t>
          </w:r>
          <w:r w:rsidR="00DF0681">
            <w:rPr>
              <w:noProof/>
            </w:rPr>
            <w:t xml:space="preserve"> Retrieved from Health Information Policy: https://www.gpo.gov/fdsys/pkg/FR-2009-08-24/pdf/E9-20169.pdf</w:t>
          </w:r>
        </w:p>
        <w:p w14:paraId="459279CD" w14:textId="42A4F35E" w:rsidR="00E81978" w:rsidRDefault="00C31D30" w:rsidP="00DF0681">
          <w:pPr>
            <w:pStyle w:val="Bibliography"/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24C373A" w14:textId="3A05D13A" w:rsidR="00E81978" w:rsidRDefault="003474E9">
      <w:pPr>
        <w:pStyle w:val="SectionTitle"/>
      </w:pPr>
      <w:r>
        <w:lastRenderedPageBreak/>
        <w:t>Reporting HIPAA Breach Event Cross Functional Flow Chart</w:t>
      </w:r>
    </w:p>
    <w:p w14:paraId="42BF0129" w14:textId="77777777" w:rsidR="003474E9" w:rsidRDefault="003474E9" w:rsidP="00DF0681">
      <w:pPr>
        <w:keepNext/>
        <w:jc w:val="center"/>
      </w:pPr>
      <w:r>
        <w:object w:dxaOrig="10350" w:dyaOrig="15391" w14:anchorId="10F275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75pt;height:507.75pt" o:ole="">
            <v:imagedata r:id="rId9" o:title=""/>
          </v:shape>
          <o:OLEObject Type="Embed" ProgID="Visio.Drawing.15" ShapeID="_x0000_i1025" DrawAspect="Content" ObjectID="_1603556664" r:id="rId10"/>
        </w:object>
      </w:r>
    </w:p>
    <w:p w14:paraId="4C97B546" w14:textId="29653299" w:rsidR="003474E9" w:rsidRDefault="003474E9" w:rsidP="003474E9">
      <w:pPr>
        <w:pStyle w:val="Caption"/>
      </w:pPr>
      <w:bookmarkStart w:id="0" w:name="_Ref529814509"/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.  Reporting HIPAA Breach Event Cross Functional Flow Chart</w:t>
      </w:r>
      <w:bookmarkEnd w:id="0"/>
    </w:p>
    <w:p w14:paraId="2A52F252" w14:textId="07DB684C" w:rsidR="00DF0681" w:rsidRPr="00DF0681" w:rsidRDefault="00DF0681" w:rsidP="00DF0681">
      <w:r>
        <w:t>This chart enumerates and describes the steps necessary during a breach notification for different number of groups of individuals</w:t>
      </w:r>
      <w:r w:rsidR="00A82891">
        <w:t>,</w:t>
      </w:r>
      <w:bookmarkStart w:id="1" w:name="_GoBack"/>
      <w:bookmarkEnd w:id="1"/>
      <w:r w:rsidR="00A82891">
        <w:t xml:space="preserve"> based upon the </w:t>
      </w:r>
      <w:r w:rsidR="00A82891">
        <w:rPr>
          <w:i/>
          <w:iCs/>
          <w:noProof/>
        </w:rPr>
        <w:t>HITECH Breach Notification Interim Final Rule</w:t>
      </w:r>
      <w:sdt>
        <w:sdtPr>
          <w:rPr>
            <w:i/>
            <w:iCs/>
            <w:noProof/>
          </w:rPr>
          <w:id w:val="-1478917068"/>
          <w:citation/>
        </w:sdtPr>
        <w:sdtContent>
          <w:r w:rsidR="00A82891">
            <w:rPr>
              <w:i/>
              <w:iCs/>
              <w:noProof/>
            </w:rPr>
            <w:fldChar w:fldCharType="begin"/>
          </w:r>
          <w:r w:rsidR="00A82891" w:rsidRPr="00A82891">
            <w:rPr>
              <w:i/>
              <w:iCs/>
              <w:noProof/>
            </w:rPr>
            <w:instrText xml:space="preserve"> CITATION USD13 \l 2058 </w:instrText>
          </w:r>
          <w:r w:rsidR="00A82891">
            <w:rPr>
              <w:i/>
              <w:iCs/>
              <w:noProof/>
            </w:rPr>
            <w:fldChar w:fldCharType="separate"/>
          </w:r>
          <w:r w:rsidR="00A82891" w:rsidRPr="00A82891">
            <w:rPr>
              <w:i/>
              <w:iCs/>
              <w:noProof/>
            </w:rPr>
            <w:t xml:space="preserve"> </w:t>
          </w:r>
          <w:r w:rsidR="00A82891" w:rsidRPr="00A82891">
            <w:rPr>
              <w:noProof/>
            </w:rPr>
            <w:t>(U.S. Department of Health &amp; Human Services, 2013)</w:t>
          </w:r>
          <w:r w:rsidR="00A82891">
            <w:rPr>
              <w:i/>
              <w:iCs/>
              <w:noProof/>
            </w:rPr>
            <w:fldChar w:fldCharType="end"/>
          </w:r>
        </w:sdtContent>
      </w:sdt>
      <w:r w:rsidR="00A82891">
        <w:rPr>
          <w:i/>
          <w:iCs/>
          <w:noProof/>
        </w:rPr>
        <w:t>.</w:t>
      </w:r>
    </w:p>
    <w:sectPr w:rsidR="00DF0681" w:rsidRPr="00DF0681">
      <w:headerReference w:type="default" r:id="rId11"/>
      <w:headerReference w:type="first" r:id="rId12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52874" w14:textId="77777777" w:rsidR="003474E9" w:rsidRDefault="003474E9">
      <w:pPr>
        <w:spacing w:line="240" w:lineRule="auto"/>
      </w:pPr>
      <w:r>
        <w:separator/>
      </w:r>
    </w:p>
    <w:p w14:paraId="52EDAFAC" w14:textId="77777777" w:rsidR="003474E9" w:rsidRDefault="003474E9"/>
  </w:endnote>
  <w:endnote w:type="continuationSeparator" w:id="0">
    <w:p w14:paraId="5EEEA394" w14:textId="77777777" w:rsidR="003474E9" w:rsidRDefault="003474E9">
      <w:pPr>
        <w:spacing w:line="240" w:lineRule="auto"/>
      </w:pPr>
      <w:r>
        <w:continuationSeparator/>
      </w:r>
    </w:p>
    <w:p w14:paraId="0406408F" w14:textId="77777777" w:rsidR="003474E9" w:rsidRDefault="003474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FA1EF" w14:textId="77777777" w:rsidR="003474E9" w:rsidRDefault="003474E9">
      <w:pPr>
        <w:spacing w:line="240" w:lineRule="auto"/>
      </w:pPr>
      <w:r>
        <w:separator/>
      </w:r>
    </w:p>
    <w:p w14:paraId="78D3FD67" w14:textId="77777777" w:rsidR="003474E9" w:rsidRDefault="003474E9"/>
  </w:footnote>
  <w:footnote w:type="continuationSeparator" w:id="0">
    <w:p w14:paraId="4C64E92A" w14:textId="77777777" w:rsidR="003474E9" w:rsidRDefault="003474E9">
      <w:pPr>
        <w:spacing w:line="240" w:lineRule="auto"/>
      </w:pPr>
      <w:r>
        <w:continuationSeparator/>
      </w:r>
    </w:p>
    <w:p w14:paraId="5651DF60" w14:textId="77777777" w:rsidR="003474E9" w:rsidRDefault="003474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FE4BC" w14:textId="706630E2" w:rsidR="00E81978" w:rsidRDefault="00743633">
    <w:pPr>
      <w:pStyle w:val="Header"/>
    </w:pPr>
    <w:sdt>
      <w:sdtPr>
        <w:rPr>
          <w:rStyle w:val="Strong"/>
        </w:rPr>
        <w:alias w:val="Running head"/>
        <w:tag w:val=""/>
        <w:id w:val="495076001"/>
        <w:placeholder>
          <w:docPart w:val="482B38E326DC47BD80C90E801E076B06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3474E9">
          <w:rPr>
            <w:rStyle w:val="Strong"/>
          </w:rPr>
          <w:t>HEALTH CARE DATA BREACH NOTIFICATION PROCESS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0D3F41">
      <w:rPr>
        <w:rStyle w:val="Strong"/>
        <w:noProof/>
      </w:rPr>
      <w:t>8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87B5" w14:textId="34C82670"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1827018790"/>
        <w:placeholder>
          <w:docPart w:val="76D5102CF58141F283927B5819DFC3E8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3474E9">
          <w:rPr>
            <w:rStyle w:val="Strong"/>
          </w:rPr>
          <w:t>HEALTH CARE DATA BREACH NOTIFICATION PROCESS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0D3F41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E9"/>
    <w:rsid w:val="000D3F41"/>
    <w:rsid w:val="003474E9"/>
    <w:rsid w:val="00355DCA"/>
    <w:rsid w:val="00551A02"/>
    <w:rsid w:val="005534FA"/>
    <w:rsid w:val="005D3A03"/>
    <w:rsid w:val="00743633"/>
    <w:rsid w:val="008002C0"/>
    <w:rsid w:val="008C5323"/>
    <w:rsid w:val="009A6A3B"/>
    <w:rsid w:val="00A82891"/>
    <w:rsid w:val="00B823AA"/>
    <w:rsid w:val="00BA45DB"/>
    <w:rsid w:val="00BF4184"/>
    <w:rsid w:val="00C0601E"/>
    <w:rsid w:val="00C31D30"/>
    <w:rsid w:val="00CD6E39"/>
    <w:rsid w:val="00CF6E91"/>
    <w:rsid w:val="00D85B68"/>
    <w:rsid w:val="00DF0681"/>
    <w:rsid w:val="00E6004D"/>
    <w:rsid w:val="00E81978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C25F7"/>
  <w15:chartTrackingRefBased/>
  <w15:docId w15:val="{31505391-2408-4FDC-9F7B-C74F4091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Visio_Drawing.vsdx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lor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CA31C93AFB416293F1D5A2FB124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90EB6-DA99-474D-BE13-7368B2E77886}"/>
      </w:docPartPr>
      <w:docPartBody>
        <w:p w:rsidR="00000000" w:rsidRDefault="00716567">
          <w:pPr>
            <w:pStyle w:val="A6CA31C93AFB416293F1D5A2FB124D80"/>
          </w:pPr>
          <w:r>
            <w:t>[Title Here, up to 12 Words, on One to Two Lines]</w:t>
          </w:r>
        </w:p>
      </w:docPartBody>
    </w:docPart>
    <w:docPart>
      <w:docPartPr>
        <w:name w:val="DB0F3719023541369687D5280464F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A803-AD97-4E12-8290-F54C040D68C7}"/>
      </w:docPartPr>
      <w:docPartBody>
        <w:p w:rsidR="00000000" w:rsidRDefault="00716567">
          <w:pPr>
            <w:pStyle w:val="DB0F3719023541369687D5280464F2FF"/>
          </w:pPr>
          <w:r>
            <w:t>[Title Here, up to 12 Words, on One to Two Lines]</w:t>
          </w:r>
        </w:p>
      </w:docPartBody>
    </w:docPart>
    <w:docPart>
      <w:docPartPr>
        <w:name w:val="482B38E326DC47BD80C90E801E07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17379-FC76-44A1-B05C-2CE4E74B6E13}"/>
      </w:docPartPr>
      <w:docPartBody>
        <w:p w:rsidR="00000000" w:rsidRDefault="00716567">
          <w:pPr>
            <w:pStyle w:val="482B38E326DC47BD80C90E801E076B06"/>
          </w:pPr>
          <w:r w:rsidRPr="005D3A03">
            <w:t>Figures title:</w:t>
          </w:r>
        </w:p>
      </w:docPartBody>
    </w:docPart>
    <w:docPart>
      <w:docPartPr>
        <w:name w:val="76D5102CF58141F283927B5819DF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3508-C63F-4FB5-84F2-B694AD4EBBED}"/>
      </w:docPartPr>
      <w:docPartBody>
        <w:p w:rsidR="00000000" w:rsidRDefault="00716567">
          <w:pPr>
            <w:pStyle w:val="76D5102CF58141F283927B5819DFC3E8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CA31C93AFB416293F1D5A2FB124D80">
    <w:name w:val="A6CA31C93AFB416293F1D5A2FB124D80"/>
  </w:style>
  <w:style w:type="paragraph" w:customStyle="1" w:styleId="631071F51F364C928BE98B5F7E53D47F">
    <w:name w:val="631071F51F364C928BE98B5F7E53D47F"/>
  </w:style>
  <w:style w:type="paragraph" w:customStyle="1" w:styleId="A10920A5EAEA415098F0ECC85CF5623A">
    <w:name w:val="A10920A5EAEA415098F0ECC85CF5623A"/>
  </w:style>
  <w:style w:type="paragraph" w:customStyle="1" w:styleId="EACE14F2D1574FF4AECADD905089DB5E">
    <w:name w:val="EACE14F2D1574FF4AECADD905089DB5E"/>
  </w:style>
  <w:style w:type="paragraph" w:customStyle="1" w:styleId="42FDAEB83F684D8A8EA4274CF6421805">
    <w:name w:val="42FDAEB83F684D8A8EA4274CF6421805"/>
  </w:style>
  <w:style w:type="paragraph" w:customStyle="1" w:styleId="AB77A8DB09E9455ABA729C430AD293B6">
    <w:name w:val="AB77A8DB09E9455ABA729C430AD293B6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C7EB067C77D24D26B8E9A17A9909F7B7">
    <w:name w:val="C7EB067C77D24D26B8E9A17A9909F7B7"/>
  </w:style>
  <w:style w:type="paragraph" w:customStyle="1" w:styleId="39D5D5B47DEE40C7A51C21C7DFA0DBBB">
    <w:name w:val="39D5D5B47DEE40C7A51C21C7DFA0DBBB"/>
  </w:style>
  <w:style w:type="paragraph" w:customStyle="1" w:styleId="DB0F3719023541369687D5280464F2FF">
    <w:name w:val="DB0F3719023541369687D5280464F2FF"/>
  </w:style>
  <w:style w:type="paragraph" w:customStyle="1" w:styleId="954C6B13AB22407E8B0FFFC28CA45534">
    <w:name w:val="954C6B13AB22407E8B0FFFC28CA45534"/>
  </w:style>
  <w:style w:type="paragraph" w:customStyle="1" w:styleId="FAF29BC179E145B08A1F58D4D97CA0CF">
    <w:name w:val="FAF29BC179E145B08A1F58D4D97CA0CF"/>
  </w:style>
  <w:style w:type="paragraph" w:customStyle="1" w:styleId="AF08C86FCDE04C6899684E68DD971E17">
    <w:name w:val="AF08C86FCDE04C6899684E68DD971E17"/>
  </w:style>
  <w:style w:type="paragraph" w:customStyle="1" w:styleId="8A205727FF574546B451B6FBD5AFF5BC">
    <w:name w:val="8A205727FF574546B451B6FBD5AFF5BC"/>
  </w:style>
  <w:style w:type="paragraph" w:customStyle="1" w:styleId="26CB13FFDD734B798B05AAFBCE49296C">
    <w:name w:val="26CB13FFDD734B798B05AAFBCE49296C"/>
  </w:style>
  <w:style w:type="paragraph" w:customStyle="1" w:styleId="051DFC6448CE4AFE83438F71BBB09F46">
    <w:name w:val="051DFC6448CE4AFE83438F71BBB09F46"/>
  </w:style>
  <w:style w:type="paragraph" w:customStyle="1" w:styleId="0E40D31DE1654B008B79CCC3D26432A9">
    <w:name w:val="0E40D31DE1654B008B79CCC3D26432A9"/>
  </w:style>
  <w:style w:type="paragraph" w:customStyle="1" w:styleId="B1E5CEE1195F43FCA2C6E7C311147B80">
    <w:name w:val="B1E5CEE1195F43FCA2C6E7C311147B80"/>
  </w:style>
  <w:style w:type="paragraph" w:customStyle="1" w:styleId="05075CE9C0004DD381717B07752DDEEC">
    <w:name w:val="05075CE9C0004DD381717B07752DDEEC"/>
  </w:style>
  <w:style w:type="paragraph" w:customStyle="1" w:styleId="EFB71CCF985B475F893A42A844647695">
    <w:name w:val="EFB71CCF985B475F893A42A844647695"/>
  </w:style>
  <w:style w:type="paragraph" w:customStyle="1" w:styleId="E4E355751E72463497D3D1BBB67E3316">
    <w:name w:val="E4E355751E72463497D3D1BBB67E3316"/>
  </w:style>
  <w:style w:type="paragraph" w:customStyle="1" w:styleId="98E22DFE608947B8970F4B36CE525219">
    <w:name w:val="98E22DFE608947B8970F4B36CE525219"/>
  </w:style>
  <w:style w:type="paragraph" w:customStyle="1" w:styleId="50C03E2B47D7446E9054B3688DA3EA2E">
    <w:name w:val="50C03E2B47D7446E9054B3688DA3EA2E"/>
  </w:style>
  <w:style w:type="paragraph" w:customStyle="1" w:styleId="304D1F80F6984FDC88709B818948C082">
    <w:name w:val="304D1F80F6984FDC88709B818948C082"/>
  </w:style>
  <w:style w:type="paragraph" w:customStyle="1" w:styleId="88B4CF323F0744999614FF19203C8EA6">
    <w:name w:val="88B4CF323F0744999614FF19203C8EA6"/>
  </w:style>
  <w:style w:type="paragraph" w:customStyle="1" w:styleId="1D340F54CA51407F843CD06AC43B865B">
    <w:name w:val="1D340F54CA51407F843CD06AC43B865B"/>
  </w:style>
  <w:style w:type="paragraph" w:customStyle="1" w:styleId="54C30A2E4C2D42E0B6F08A70D0EEA5BB">
    <w:name w:val="54C30A2E4C2D42E0B6F08A70D0EEA5BB"/>
  </w:style>
  <w:style w:type="paragraph" w:customStyle="1" w:styleId="1B576B8CBF6943F7A840D73518FE0361">
    <w:name w:val="1B576B8CBF6943F7A840D73518FE0361"/>
  </w:style>
  <w:style w:type="paragraph" w:customStyle="1" w:styleId="4922B3ED6D0E441D8265296C3D83AE47">
    <w:name w:val="4922B3ED6D0E441D8265296C3D83AE47"/>
  </w:style>
  <w:style w:type="paragraph" w:customStyle="1" w:styleId="BB71CD8E8C7144408416F13B171F0389">
    <w:name w:val="BB71CD8E8C7144408416F13B171F0389"/>
  </w:style>
  <w:style w:type="paragraph" w:customStyle="1" w:styleId="C5A20BD8681045A69CA7B176C887D545">
    <w:name w:val="C5A20BD8681045A69CA7B176C887D545"/>
  </w:style>
  <w:style w:type="paragraph" w:customStyle="1" w:styleId="79D095795317423C94537BA4F5194DA5">
    <w:name w:val="79D095795317423C94537BA4F5194DA5"/>
  </w:style>
  <w:style w:type="paragraph" w:customStyle="1" w:styleId="0CA456AD63A642819635E714090B2CDB">
    <w:name w:val="0CA456AD63A642819635E714090B2CDB"/>
  </w:style>
  <w:style w:type="paragraph" w:customStyle="1" w:styleId="ACFF6B04E0774A32B229626A0A66949F">
    <w:name w:val="ACFF6B04E0774A32B229626A0A66949F"/>
  </w:style>
  <w:style w:type="paragraph" w:customStyle="1" w:styleId="94109D3F58C14409B4E9B8CFB1043F8B">
    <w:name w:val="94109D3F58C14409B4E9B8CFB1043F8B"/>
  </w:style>
  <w:style w:type="paragraph" w:customStyle="1" w:styleId="D0CB813508124DDA80B3DF468BE384FB">
    <w:name w:val="D0CB813508124DDA80B3DF468BE384FB"/>
  </w:style>
  <w:style w:type="paragraph" w:customStyle="1" w:styleId="4FF6542714C64032B78CF52E436B413D">
    <w:name w:val="4FF6542714C64032B78CF52E436B413D"/>
  </w:style>
  <w:style w:type="paragraph" w:customStyle="1" w:styleId="E3B351B7EDB34C87A952F5CC49368F86">
    <w:name w:val="E3B351B7EDB34C87A952F5CC49368F86"/>
  </w:style>
  <w:style w:type="paragraph" w:customStyle="1" w:styleId="C408C1DE39E14A439A3C3C8CDF8EC787">
    <w:name w:val="C408C1DE39E14A439A3C3C8CDF8EC787"/>
  </w:style>
  <w:style w:type="paragraph" w:customStyle="1" w:styleId="D31BB1DE639941FF94DB5B0B84BE8D76">
    <w:name w:val="D31BB1DE639941FF94DB5B0B84BE8D76"/>
  </w:style>
  <w:style w:type="paragraph" w:customStyle="1" w:styleId="4E71534E880842A4AC8F0C763778ABDE">
    <w:name w:val="4E71534E880842A4AC8F0C763778ABDE"/>
  </w:style>
  <w:style w:type="paragraph" w:customStyle="1" w:styleId="566CAAE7F1A645C5BC0B5E63F7FAC782">
    <w:name w:val="566CAAE7F1A645C5BC0B5E63F7FAC782"/>
  </w:style>
  <w:style w:type="paragraph" w:customStyle="1" w:styleId="8E91FE3C2C3D48AABAF573B3D68B61F9">
    <w:name w:val="8E91FE3C2C3D48AABAF573B3D68B61F9"/>
  </w:style>
  <w:style w:type="paragraph" w:customStyle="1" w:styleId="11B820D6604A4AAC81063A4C086366B5">
    <w:name w:val="11B820D6604A4AAC81063A4C086366B5"/>
  </w:style>
  <w:style w:type="paragraph" w:customStyle="1" w:styleId="8ABFD1E186DD48659A9C10702C08A91D">
    <w:name w:val="8ABFD1E186DD48659A9C10702C08A91D"/>
  </w:style>
  <w:style w:type="paragraph" w:customStyle="1" w:styleId="06D839B1A3CF4A3787818222C34690AF">
    <w:name w:val="06D839B1A3CF4A3787818222C34690AF"/>
  </w:style>
  <w:style w:type="paragraph" w:customStyle="1" w:styleId="C02962120E594D128A676332ADF659AE">
    <w:name w:val="C02962120E594D128A676332ADF659AE"/>
  </w:style>
  <w:style w:type="paragraph" w:customStyle="1" w:styleId="4F5F7D5547764108B966FC8CC3EAAF8C">
    <w:name w:val="4F5F7D5547764108B966FC8CC3EAAF8C"/>
  </w:style>
  <w:style w:type="paragraph" w:customStyle="1" w:styleId="B268E7E7E1D04E7399B8F002845C3493">
    <w:name w:val="B268E7E7E1D04E7399B8F002845C3493"/>
  </w:style>
  <w:style w:type="paragraph" w:customStyle="1" w:styleId="7E060C40F05C486EA48207211AEE801F">
    <w:name w:val="7E060C40F05C486EA48207211AEE801F"/>
  </w:style>
  <w:style w:type="paragraph" w:customStyle="1" w:styleId="A657ABD2C19F4FDCB353D846D2DD47B3">
    <w:name w:val="A657ABD2C19F4FDCB353D846D2DD47B3"/>
  </w:style>
  <w:style w:type="paragraph" w:customStyle="1" w:styleId="5C9F25F7BEBD469BAECDDE136D54A178">
    <w:name w:val="5C9F25F7BEBD469BAECDDE136D54A178"/>
  </w:style>
  <w:style w:type="paragraph" w:customStyle="1" w:styleId="EA85A10CAF0D45AC87156C026413A71D">
    <w:name w:val="EA85A10CAF0D45AC87156C026413A71D"/>
  </w:style>
  <w:style w:type="paragraph" w:customStyle="1" w:styleId="6F22C5B0AC7148AFBC514DEA62DEF634">
    <w:name w:val="6F22C5B0AC7148AFBC514DEA62DEF634"/>
  </w:style>
  <w:style w:type="paragraph" w:customStyle="1" w:styleId="00B00A7EEECC487D93C1153B073ED230">
    <w:name w:val="00B00A7EEECC487D93C1153B073ED230"/>
  </w:style>
  <w:style w:type="paragraph" w:customStyle="1" w:styleId="01863D00488244E385DF2BC8CB7FCF68">
    <w:name w:val="01863D00488244E385DF2BC8CB7FCF68"/>
  </w:style>
  <w:style w:type="paragraph" w:customStyle="1" w:styleId="15C72B06BA204DE9AE5B99071F25FC56">
    <w:name w:val="15C72B06BA204DE9AE5B99071F25FC56"/>
  </w:style>
  <w:style w:type="paragraph" w:customStyle="1" w:styleId="8F43E248E4CF455DBB5EE3BF7ED0606E">
    <w:name w:val="8F43E248E4CF455DBB5EE3BF7ED0606E"/>
  </w:style>
  <w:style w:type="paragraph" w:customStyle="1" w:styleId="F4C7991DA6C84B78A4BCA0F1115961CB">
    <w:name w:val="F4C7991DA6C84B78A4BCA0F1115961CB"/>
  </w:style>
  <w:style w:type="paragraph" w:customStyle="1" w:styleId="6F259E8D9F3447AAAF874F785A36DA6A">
    <w:name w:val="6F259E8D9F3447AAAF874F785A36DA6A"/>
  </w:style>
  <w:style w:type="paragraph" w:customStyle="1" w:styleId="AB5219A36984484EA3F7DE875D1070EA">
    <w:name w:val="AB5219A36984484EA3F7DE875D1070EA"/>
  </w:style>
  <w:style w:type="paragraph" w:customStyle="1" w:styleId="FCB94651576B4741BC85E82BA8052A59">
    <w:name w:val="FCB94651576B4741BC85E82BA8052A59"/>
  </w:style>
  <w:style w:type="paragraph" w:customStyle="1" w:styleId="482B38E326DC47BD80C90E801E076B06">
    <w:name w:val="482B38E326DC47BD80C90E801E076B06"/>
  </w:style>
  <w:style w:type="paragraph" w:customStyle="1" w:styleId="76D5102CF58141F283927B5819DFC3E8">
    <w:name w:val="76D5102CF58141F283927B5819DFC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HEALTH CARE DATA BREACH NOTIFICATION PROCESS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USD13</b:Tag>
    <b:SourceType>DocumentFromInternetSite</b:SourceType>
    <b:Guid>{1D155DD5-9F17-4286-A8E9-9541BF8A5CDE}</b:Guid>
    <b:Title>HITECH Breach Notification Interim Final Rule</b:Title>
    <b:Year>2013</b:Year>
    <b:Author>
      <b:Author>
        <b:Corporate>U.S. Department of Health &amp; Human Services</b:Corporate>
      </b:Author>
    </b:Author>
    <b:InternetSiteTitle>Health Information Policy</b:InternetSiteTitle>
    <b:Month>July</b:Month>
    <b:Day>26</b:Day>
    <b:URL>https://www.gpo.gov/fdsys/pkg/FR-2009-08-24/pdf/E9-20169.pdf</b:URL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A5B32-6F8D-4AF5-A973-83F200D8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20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Care Data Breach Notification Process</dc:title>
  <dc:subject/>
  <dc:creator>Karen Flores</dc:creator>
  <cp:keywords>24fb78ae-0ed5-4a7c-88e1-dc5e20342428</cp:keywords>
  <dc:description/>
  <cp:lastModifiedBy>Karen Flores</cp:lastModifiedBy>
  <cp:revision>3</cp:revision>
  <dcterms:created xsi:type="dcterms:W3CDTF">2018-11-13T01:15:00Z</dcterms:created>
  <dcterms:modified xsi:type="dcterms:W3CDTF">2018-11-13T01:38:00Z</dcterms:modified>
</cp:coreProperties>
</file>