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E93B" w14:textId="6EC676E3" w:rsidR="00E81978" w:rsidRDefault="00447885">
      <w:pPr>
        <w:pStyle w:val="Title"/>
      </w:pPr>
      <w:sdt>
        <w:sdtPr>
          <w:alias w:val="Title:"/>
          <w:tag w:val="Title:"/>
          <w:id w:val="726351117"/>
          <w:placeholder>
            <w:docPart w:val="69374BFECAE14F85B64635164E68532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04220">
            <w:t>Home Visiting Service and Framework:</w:t>
          </w:r>
          <w:r w:rsidR="00604220">
            <w:br/>
            <w:t>Strategic Business Proposal</w:t>
          </w:r>
        </w:sdtContent>
      </w:sdt>
    </w:p>
    <w:p w14:paraId="7B553021" w14:textId="513A9E85" w:rsidR="00B823AA" w:rsidRDefault="00604220" w:rsidP="00B823AA">
      <w:pPr>
        <w:pStyle w:val="Title2"/>
      </w:pPr>
      <w:r>
        <w:t>Karen Flores</w:t>
      </w:r>
    </w:p>
    <w:p w14:paraId="0E246EEF" w14:textId="7E81F4A1" w:rsidR="00E81978" w:rsidRDefault="00604220" w:rsidP="00B823AA">
      <w:pPr>
        <w:pStyle w:val="Title2"/>
      </w:pPr>
      <w:r>
        <w:t>University of San Diego</w:t>
      </w:r>
    </w:p>
    <w:p w14:paraId="26C06D90" w14:textId="057EA700" w:rsidR="00E81978" w:rsidRDefault="00E81978">
      <w:pPr>
        <w:pStyle w:val="Title"/>
      </w:pPr>
    </w:p>
    <w:p w14:paraId="3F3803A1" w14:textId="12104F09" w:rsidR="00E81978" w:rsidRDefault="00E81978" w:rsidP="00B823AA">
      <w:pPr>
        <w:pStyle w:val="Title2"/>
      </w:pPr>
    </w:p>
    <w:p w14:paraId="62F01AEB" w14:textId="3550153D" w:rsidR="00E81978" w:rsidRDefault="00604220">
      <w:pPr>
        <w:pStyle w:val="SectionTitle"/>
      </w:pPr>
      <w:r>
        <w:lastRenderedPageBreak/>
        <w:t>Executive Summary</w:t>
      </w:r>
    </w:p>
    <w:p w14:paraId="49727E9F" w14:textId="77777777" w:rsidR="00CB4ADA" w:rsidRDefault="00CB4ADA" w:rsidP="00CB4ADA">
      <w:r>
        <w:t xml:space="preserve">During early years, U.S. medicine was limited to longstanding relationship between patient and physician and remained changed until the appearance of the first insurance </w:t>
      </w:r>
      <w:r w:rsidRPr="003668EA">
        <w:rPr>
          <w:noProof/>
        </w:rPr>
        <w:t>(Young &amp; Kroth, 2018)</w:t>
      </w:r>
      <w:r>
        <w:t xml:space="preserve"> which was later promoted by the government </w:t>
      </w:r>
      <w:sdt>
        <w:sdtPr>
          <w:id w:val="479815112"/>
          <w:citation/>
        </w:sdtPr>
        <w:sdtEndPr/>
        <w:sdtContent>
          <w:r>
            <w:fldChar w:fldCharType="begin"/>
          </w:r>
          <w:r>
            <w:instrText xml:space="preserve">CITATION Placeholder1 \l 2058 </w:instrText>
          </w:r>
          <w:r>
            <w:fldChar w:fldCharType="separate"/>
          </w:r>
          <w:r w:rsidRPr="003668EA">
            <w:rPr>
              <w:noProof/>
            </w:rPr>
            <w:t>(Young &amp; Kroth, Public health and the role of government in health care, 2018)</w:t>
          </w:r>
          <w:r>
            <w:fldChar w:fldCharType="end"/>
          </w:r>
        </w:sdtContent>
      </w:sdt>
      <w:r>
        <w:t>.  In the early 20</w:t>
      </w:r>
      <w:r w:rsidRPr="000B7BE3">
        <w:rPr>
          <w:vertAlign w:val="superscript"/>
        </w:rPr>
        <w:t>th</w:t>
      </w:r>
      <w:r>
        <w:t xml:space="preserve"> century, acute care hospital became the central unit of healthcare which emphasized acute care mostly which gave rise to the health care paradox</w:t>
      </w:r>
      <w:sdt>
        <w:sdtPr>
          <w:id w:val="-3133948"/>
          <w:citation/>
        </w:sdtPr>
        <w:sdtEndPr/>
        <w:sdtContent>
          <w:r>
            <w:fldChar w:fldCharType="begin"/>
          </w:r>
          <w:r w:rsidRPr="000B7BE3">
            <w:instrText xml:space="preserve"> CITATION Placeholder1 \l 2058 </w:instrText>
          </w:r>
          <w:r>
            <w:fldChar w:fldCharType="separate"/>
          </w:r>
          <w:r>
            <w:rPr>
              <w:noProof/>
            </w:rPr>
            <w:t xml:space="preserve"> </w:t>
          </w:r>
          <w:r w:rsidRPr="003668EA">
            <w:rPr>
              <w:noProof/>
            </w:rPr>
            <w:t>(Young &amp; Kroth, Public health and the role of government in health care, 2018)</w:t>
          </w:r>
          <w:r>
            <w:fldChar w:fldCharType="end"/>
          </w:r>
        </w:sdtContent>
      </w:sdt>
      <w:r>
        <w:t xml:space="preserve">.   This paradox has increased the pressure on Investor owned and non-profit health care organizations to do more with less resources </w:t>
      </w:r>
      <w:r>
        <w:fldChar w:fldCharType="begin" w:fldLock="1"/>
      </w:r>
      <w:r>
        <w:instrText>ADDIN CSL_CITATION {"citationItems":[{"id":"ITEM-1","itemData":{"DOI":"10.1177/2333392815590397","ISSN":"2333-3928","PMID":"28462258","abstract":"OBJECTIVES This paper evaluates the drivers of profitability for a large sample of U.S. hospitals. Following a methodology frequently used by financial analysts, we use a DuPont analysis as a framework to evaluate the quality of earnings. By decomposing returns on equity (ROE) into profit margin, total asset turnover, and capital structure, the DuPont analysis reveals what drives overall profitability. METHODS Profit margin, the efficiency with which services are rendered (total asset turnover), and capital structure is calculated for 3,255 U.S. hospitals between 2007 and 2012 using data from the Centers for Medicare &amp; Medicaid Services' Healthcare Cost Report Information System (CMS Form 2552). The sample is then stratified by ownership, size, system affiliation, teaching status, critical access designation, and urban or non-urban location. Those hospital characteristics and interaction terms are then regressed (OLS) against the ROE and the respective DuPont components. Sensitivity to regression methodology is also investigated using a seemingly unrelated regression. RESULTS When the sample is stratified by hospital characteristics, the results indicate investor-owned hospitals have higher profit margins, higher efficiency, and are substantially more leveraged. Hospitals in systems are found to have higher ROE, margins, and efficiency but are associated with less leverage. In addition, a number of important and significant interactions between teaching status, ownership, location, critical access designation, and inclusion in a system are documented. Many of the significant relationships, most notably not-for-profit ownership, lose significance or are predominately associated with one interaction effect when interaction terms are introduced as explanatory variables. Results are not sensitive to the alternative methodology. CONCLUSION The results of the DuPont analysis suggest that although there appears to be convergence in the behavior of NFP and IO hospitals, significant financial differences remain depending on their respective hospital characteristics. Those differences are tempered or exacerbated by location, size, teaching status, system affiliation, and critical access designation. With the exception of cost-based reimbursement for critical access hospitals, emerging payment systems are placing additional financial pressures on hospitals. The financial pressures being applied treat hospitals as a monolithic category and, given the delicate and o…","author":[{"dropping-particle":"","family":"Turner","given":"Jason","non-dropping-particle":"","parse-names":false,"suffix":""},{"dropping-particle":"","family":"Broom","given":"Kevin","non-dropping-particle":"","parse-names":false,"suffix":""},{"dropping-particle":"","family":"Elliott","given":"Michael","non-dropping-particle":"","parse-names":false,"suffix":""},{"dropping-particle":"","family":"Lee","given":"Jen-Fu","non-dropping-particle":"","parse-names":false,"suffix":""}],"container-title":"Health Services Research and Managerial Epidemiology","id":"ITEM-1","issued":{"date-parts":[["2015"]]},"page":"233339281559039","title":"A Decomposition of Hospital Profitability","type":"article-journal","volume":"2"},"uris":["http://www.mendeley.com/documents/?uuid=92aac1d4-d2b9-4cac-bcb5-bfd5f7ad6031"]}],"mendeley":{"formattedCitation":"(Turner, Broom, Elliott, &amp; Lee, 2015)","plainTextFormattedCitation":"(Turner, Broom, Elliott, &amp; Lee, 2015)","previouslyFormattedCitation":"(Turner, Broom, Elliott, &amp; Lee, 2015)"},"properties":{"noteIndex":0},"schema":"https://github.com/citation-style-language/schema/raw/master/csl-citation.json"}</w:instrText>
      </w:r>
      <w:r>
        <w:fldChar w:fldCharType="separate"/>
      </w:r>
      <w:r w:rsidRPr="00891C98">
        <w:rPr>
          <w:noProof/>
        </w:rPr>
        <w:t>(Turner, Broom, Elliott, &amp; Lee, 2015)</w:t>
      </w:r>
      <w:r>
        <w:fldChar w:fldCharType="end"/>
      </w:r>
      <w:r>
        <w:t>.</w:t>
      </w:r>
    </w:p>
    <w:p w14:paraId="48707C38" w14:textId="77777777" w:rsidR="00CB4ADA" w:rsidRDefault="00CB4ADA" w:rsidP="00CB4ADA">
      <w:r>
        <w:t>In United States this paradox can be related to incidence of infant mortality in the U.S.  Currently, the U.S. ranks amongst the 27</w:t>
      </w:r>
      <w:r w:rsidRPr="004C4EA0">
        <w:rPr>
          <w:vertAlign w:val="superscript"/>
        </w:rPr>
        <w:t>th</w:t>
      </w:r>
      <w:r>
        <w:t xml:space="preserve"> place amongst industrialized nations for infant mortality with higher incidence on southern states </w:t>
      </w:r>
      <w:r>
        <w:fldChar w:fldCharType="begin" w:fldLock="1"/>
      </w:r>
      <w:r>
        <w:instrText>ADDIN CSL_CITATION {"citationItems":[{"id":"ITEM-1","itemData":{"DOI":"10.1016/j.amepre.2013.12.006","ISSN":"07493797","abstract":"Background Infant mortality rates (IMRs) are disproportionally high in the U.S. South; however, the proximate contributors that could inform regional action remain unclear. Purpose To quantify the components of excess infant mortality in the U.S. South by maternal race/ethnicity, underlying cause of death, and gestational age. Methods U.S. Period Linked Birth/Infant Death Data Files 2007-2009 (analyzed in 2013) were used to compare IMRs between the South (U.S. Public Health Regions IV and VI) and all other regions combined. Results Compared to other regions, there were 1.18 excess infant deaths per 1000 live births in the South, representing about 1600 excess infant deaths annually. New Mexico and Texas did not have elevated IMRs relative to other regions; excess death rates among other states ranged from 0.62 per 1000 in Kentucky to 3.82 per 1000 in Mississippi. Racial/ethnic compositional differences, generally the greater proportion of non-Hispanic black births in the South, explained 59% of the overall regional difference; the remainder was mostly explained by higher IMRs among non-Hispanic whites. The leading causes of excess Southern infant mortality were sudden unexpected infant death (SUID; 36%, range=12% in Florida to 90% in Kentucky) and preterm-related death (22%, range= -71% in Kentucky to 51% in North Carolina). Higher rates of preterm birth, predominantly &lt;34 weeks, accounted for most of the preterm contribution. Conclusions To reduce excess Southern infant mortality, comprehensive strategies addressing SUID and preterm birth prevention for both non-Hispanic black and white births are needed, with state-level findings used to tailor state-specific efforts. © Published by American Journal of Preventive Medicine.","author":[{"dropping-particle":"","family":"Hirai","given":"Ashley H.","non-dropping-particle":"","parse-names":false,"suffix":""},{"dropping-particle":"","family":"Sappenfield","given":"William M.","non-dropping-particle":"","parse-names":false,"suffix":""},{"dropping-particle":"","family":"Kogan","given":"Michael D.","non-dropping-particle":"","parse-names":false,"suffix":""},{"dropping-particle":"","family":"Barfield","given":"Wanda D.","non-dropping-particle":"","parse-names":false,"suffix":""},{"dropping-particle":"","family":"Goodman","given":"David A.","non-dropping-particle":"","parse-names":false,"suffix":""},{"dropping-particle":"","family":"Ghandour","given":"Reem M.","non-dropping-particle":"","parse-names":false,"suffix":""},{"dropping-particle":"","family":"Lu","given":"Michael C.","non-dropping-particle":"","parse-names":false,"suffix":""}],"container-title":"American Journal of Preventive Medicine","id":"ITEM-1","issue":"3","issued":{"date-parts":[["2014"]]},"page":"219-227","title":"Contributors to excess infant mortality in the U.S. South","type":"article-journal","volume":"46"},"uris":["http://www.mendeley.com/documents/?uuid=0ade3c3c-5a42-45fe-bb82-430257b55dc4"]}],"mendeley":{"formattedCitation":"(Hirai et al., 2014)","plainTextFormattedCitation":"(Hirai et al., 2014)","previouslyFormattedCitation":"(Hirai et al., 2014)"},"properties":{"noteIndex":0},"schema":"https://github.com/citation-style-language/schema/raw/master/csl-citation.json"}</w:instrText>
      </w:r>
      <w:r>
        <w:fldChar w:fldCharType="separate"/>
      </w:r>
      <w:r w:rsidRPr="007F0D96">
        <w:rPr>
          <w:noProof/>
        </w:rPr>
        <w:t>(Hirai et al., 2014)</w:t>
      </w:r>
      <w:r>
        <w:fldChar w:fldCharType="end"/>
      </w:r>
      <w:r>
        <w:t xml:space="preserve">.  This issue increase the need to implement simple data-driven strategies in order to decrease the incidence of low-birth weight, infant mortality and other risk factors.  </w:t>
      </w:r>
      <w:r w:rsidRPr="00F32DF4">
        <w:rPr>
          <w:rStyle w:val="Emphasis"/>
        </w:rPr>
        <w:t>Hom</w:t>
      </w:r>
      <w:r w:rsidRPr="00694FD7">
        <w:rPr>
          <w:i/>
        </w:rPr>
        <w:t>e visiting service</w:t>
      </w:r>
      <w:r w:rsidRPr="00F32DF4">
        <w:t xml:space="preserve"> provides a</w:t>
      </w:r>
      <w:r>
        <w:t xml:space="preserve">n efficient data-driven strategy for implementing interventions to leverage these issues.  This service is part of the platform </w:t>
      </w:r>
      <w:r w:rsidRPr="00133C9C">
        <w:rPr>
          <w:i/>
        </w:rPr>
        <w:t>Home Visiting Service and Framework</w:t>
      </w:r>
      <w:r>
        <w:rPr>
          <w:i/>
        </w:rPr>
        <w:t xml:space="preserve"> </w:t>
      </w:r>
      <w:r w:rsidRPr="008145C8">
        <w:t>which</w:t>
      </w:r>
      <w:r>
        <w:t xml:space="preserve"> consists of 5 elements: home visiting service, mobile application, cloud data storage, desktop application, and practice guidelines.  The most important goal of this platform is to avoid waste resource and continuous result tracking for health care organization like </w:t>
      </w:r>
      <w:r w:rsidRPr="008145C8">
        <w:rPr>
          <w:i/>
        </w:rPr>
        <w:t>Heartland Health</w:t>
      </w:r>
      <w:r>
        <w:t>.</w:t>
      </w:r>
    </w:p>
    <w:p w14:paraId="1E5A3DBF" w14:textId="067CFA11" w:rsidR="00CB4ADA" w:rsidRDefault="00CB4ADA" w:rsidP="00CB4ADA">
      <w:r>
        <w:t xml:space="preserve">The analysis of </w:t>
      </w:r>
      <w:r w:rsidRPr="008145C8">
        <w:rPr>
          <w:i/>
        </w:rPr>
        <w:t>Heartland Health</w:t>
      </w:r>
      <w:r>
        <w:t xml:space="preserve"> has given some insight on </w:t>
      </w:r>
      <w:r w:rsidR="00781E08">
        <w:t>the costs and revenues over the past 3 years</w:t>
      </w:r>
      <w:r>
        <w:t xml:space="preserve">.  Heartland Health Costs are divided into four categories: </w:t>
      </w:r>
      <w:r w:rsidRPr="0063150B">
        <w:rPr>
          <w:i/>
        </w:rPr>
        <w:t>providers, technology, supplies</w:t>
      </w:r>
      <w:r>
        <w:t xml:space="preserve">, and </w:t>
      </w:r>
      <w:r w:rsidRPr="0063150B">
        <w:rPr>
          <w:i/>
        </w:rPr>
        <w:t>indirects</w:t>
      </w:r>
      <w:r>
        <w:t xml:space="preserve">.  Most of the resource consumption for Heartland Health is related to the time </w:t>
      </w:r>
      <w:r w:rsidRPr="0063150B">
        <w:rPr>
          <w:i/>
        </w:rPr>
        <w:t>providers</w:t>
      </w:r>
      <w:r>
        <w:t xml:space="preserve"> followed by </w:t>
      </w:r>
      <w:r w:rsidRPr="008F1B4E">
        <w:rPr>
          <w:i/>
        </w:rPr>
        <w:t>indirects</w:t>
      </w:r>
      <w:r>
        <w:t xml:space="preserve">, </w:t>
      </w:r>
      <w:r w:rsidRPr="008F1B4E">
        <w:rPr>
          <w:i/>
        </w:rPr>
        <w:t>technology</w:t>
      </w:r>
      <w:r>
        <w:t xml:space="preserve"> and </w:t>
      </w:r>
      <w:r w:rsidRPr="008F1B4E">
        <w:rPr>
          <w:i/>
        </w:rPr>
        <w:t>supplies</w:t>
      </w:r>
      <w:r>
        <w:t xml:space="preserve">.  The analysis of variance over </w:t>
      </w:r>
      <w:r>
        <w:lastRenderedPageBreak/>
        <w:t xml:space="preserve">one-month expense budget shows a positive variance on </w:t>
      </w:r>
      <w:r w:rsidRPr="00BF5450">
        <w:rPr>
          <w:i/>
        </w:rPr>
        <w:t>providers</w:t>
      </w:r>
      <w:r>
        <w:t xml:space="preserve"> and </w:t>
      </w:r>
      <w:r w:rsidRPr="00BF5450">
        <w:rPr>
          <w:i/>
        </w:rPr>
        <w:t>indirects</w:t>
      </w:r>
      <w:r>
        <w:t xml:space="preserve">; and a negative variance related to </w:t>
      </w:r>
      <w:r>
        <w:rPr>
          <w:i/>
        </w:rPr>
        <w:t xml:space="preserve">technology </w:t>
      </w:r>
      <w:r>
        <w:t xml:space="preserve">and </w:t>
      </w:r>
      <w:r>
        <w:rPr>
          <w:i/>
        </w:rPr>
        <w:t>supplies</w:t>
      </w:r>
      <w:r>
        <w:t xml:space="preserve">.  Further analysis will be needed to determine the exact causes for these increased cost of </w:t>
      </w:r>
      <w:r w:rsidRPr="008F1B4E">
        <w:rPr>
          <w:i/>
        </w:rPr>
        <w:t>technology</w:t>
      </w:r>
      <w:r>
        <w:t xml:space="preserve"> and </w:t>
      </w:r>
      <w:r w:rsidRPr="008F1B4E">
        <w:rPr>
          <w:i/>
        </w:rPr>
        <w:t>supplies</w:t>
      </w:r>
      <w:r>
        <w:t>.  Nevertheless, these points towards an increase resources in relation to diagnostic procedures or clinical examination that varies between the two locations.</w:t>
      </w:r>
    </w:p>
    <w:p w14:paraId="06FF9438" w14:textId="77777777" w:rsidR="00CB4ADA" w:rsidRDefault="00CB4ADA" w:rsidP="00CB4ADA">
      <w:r w:rsidRPr="003B188B">
        <w:rPr>
          <w:i/>
        </w:rPr>
        <w:t>Heartland Health</w:t>
      </w:r>
      <w:r>
        <w:t xml:space="preserve"> is a respected and well-known local health care organization constituted of 12 team members, led by one physician leader.  The </w:t>
      </w:r>
      <w:r>
        <w:rPr>
          <w:i/>
        </w:rPr>
        <w:t>Home Visiting Service and Framework</w:t>
      </w:r>
      <w:r>
        <w:t xml:space="preserve"> is a platform that will provide mobile tools to support the provision of home visiting services for pregnant women by Community Health Workers (CHW).  The proposed solution will integrate various components that can affect the workflow of Clinical Services  and Health Informatics teams and the assumption is that clinical services and health informatics teams will be involved in the evaluation of different aspects of the platform.  In addition, it is assumed that both team will review costs, technical and technological requirements.</w:t>
      </w:r>
    </w:p>
    <w:p w14:paraId="15E5D4EE" w14:textId="2692A307" w:rsidR="00CB4ADA" w:rsidRPr="008F1B4E" w:rsidRDefault="00CB4ADA" w:rsidP="00CB4ADA">
      <w:r w:rsidRPr="00643DFB">
        <w:rPr>
          <w:i/>
        </w:rPr>
        <w:t>Home Visiting Service and Framework</w:t>
      </w:r>
      <w:r>
        <w:t xml:space="preserve"> is a platform that uses data-driven strategies to decrease the incidence of low-birth weight and infant mortality, confirm the intervention on a risk factor, avoid resource waste </w:t>
      </w:r>
      <w:r>
        <w:fldChar w:fldCharType="begin" w:fldLock="1"/>
      </w:r>
      <w:r>
        <w:instrText>ADDIN CSL_CITATION {"citationItems":[{"id":"ITEM-1","itemData":{"DOI":"10.1016/j.annepidem.2016.02.012","ISBN":"0000000000","ISSN":"10472797","PMID":"28299348","author":[{"dropping-particle":"","family":"Schieve","given":"Laura A.","non-dropping-particle":"","parse-names":false,"suffix":""},{"dropping-particle":"","family":"Tian","given":"Lin H.","non-dropping-particle":"","parse-names":false,"suffix":""},{"dropping-particle":"","family":"Rankin","given":"Kristin","non-dropping-particle":"","parse-names":false,"suffix":""},{"dropping-particle":"","family":"Kogan","given":"Michael D.","non-dropping-particle":"","parse-names":false,"suffix":""},{"dropping-particle":"","family":"Yeargin-Allsopp","given":"Marshalyn","non-dropping-particle":"","parse-names":false,"suffix":""},{"dropping-particle":"","family":"Visser","given":"Susanna","non-dropping-particle":"","parse-names":false,"suffix":""},{"dropping-particle":"","family":"Rosenberg","given":"Deborah","non-dropping-particle":"","parse-names":false,"suffix":""}],"container-title":"Annals of Epidemiology","id":"ITEM-1","issue":"4","issued":{"date-parts":[["2016","4"]]},"page":"267-274","title":"Population impact of preterm birth and low birth weight on developmental disabilities in US children","type":"article-journal","volume":"26"},"uris":["http://www.mendeley.com/documents/?uuid=1d2a754a-04f0-4abb-a7fc-2583d72e56ba"]}],"mendeley":{"formattedCitation":"(Schieve et al., 2016)","plainTextFormattedCitation":"(Schieve et al., 2016)","previouslyFormattedCitation":"(Schieve et al., 2016)"},"properties":{"noteIndex":0},"schema":"https://github.com/citation-style-language/schema/raw/master/csl-citation.json"}</w:instrText>
      </w:r>
      <w:r>
        <w:fldChar w:fldCharType="separate"/>
      </w:r>
      <w:r w:rsidRPr="00CE77F8">
        <w:rPr>
          <w:noProof/>
        </w:rPr>
        <w:t>(Schieve et al., 2016)</w:t>
      </w:r>
      <w:r>
        <w:fldChar w:fldCharType="end"/>
      </w:r>
      <w:r>
        <w:t xml:space="preserve">.  Interventions, such as home visiting services assist in the identification and intervention on risk factors with low-cost interventions.  Furthermore, the data generated on these interventions can be synchronized on demand or continuously to a cloud through the platform to a data repository that will allow continuous analysis of the results.  As a result, </w:t>
      </w:r>
      <w:r w:rsidRPr="00643DFB">
        <w:rPr>
          <w:i/>
        </w:rPr>
        <w:t>Home Visiting Service and Framework</w:t>
      </w:r>
      <w:r>
        <w:rPr>
          <w:i/>
        </w:rPr>
        <w:t xml:space="preserve"> </w:t>
      </w:r>
      <w:r w:rsidRPr="00533EA7">
        <w:t>is a platform that can assist to</w:t>
      </w:r>
      <w:r>
        <w:t xml:space="preserve"> implement and</w:t>
      </w:r>
      <w:r w:rsidRPr="00533EA7">
        <w:t xml:space="preserve"> </w:t>
      </w:r>
      <w:r>
        <w:t>measure the impact of interventions on in</w:t>
      </w:r>
      <w:r w:rsidRPr="00533EA7">
        <w:t xml:space="preserve">fant </w:t>
      </w:r>
      <w:r>
        <w:t>mortality continuously.</w:t>
      </w:r>
    </w:p>
    <w:p w14:paraId="30CB4C32" w14:textId="2DE0DD32" w:rsidR="00E81978" w:rsidRDefault="00447885">
      <w:pPr>
        <w:pStyle w:val="SectionTitle"/>
      </w:pPr>
      <w:sdt>
        <w:sdtPr>
          <w:alias w:val="Section title:"/>
          <w:tag w:val="Section title:"/>
          <w:id w:val="984196707"/>
          <w:placeholder>
            <w:docPart w:val="25B6FCCF2A8D486FB410D7E5C2C0D2D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04220">
            <w:t>Home Visiting Service and Framework:</w:t>
          </w:r>
          <w:r w:rsidR="00604220">
            <w:br/>
            <w:t>Strategic Business Proposal</w:t>
          </w:r>
        </w:sdtContent>
      </w:sdt>
    </w:p>
    <w:p w14:paraId="45BA832C" w14:textId="27A611FF" w:rsidR="005807E3" w:rsidRDefault="005807E3" w:rsidP="005807E3">
      <w:r>
        <w:t xml:space="preserve">Throughout the history, there has been multiple factors involved in the evolution of U.S. health care system.  </w:t>
      </w:r>
      <w:bookmarkStart w:id="0" w:name="_Hlk7113978"/>
      <w:r>
        <w:t xml:space="preserve">During early years,  U.S. medicine was limited to longstanding relationship between patient and physician, which involved a fee-for-service agreement </w:t>
      </w:r>
      <w:r w:rsidR="003668EA" w:rsidRPr="003668EA">
        <w:rPr>
          <w:noProof/>
        </w:rPr>
        <w:t>(Young &amp; Kroth, 2018)</w:t>
      </w:r>
      <w:r>
        <w:t xml:space="preserve">. For years, this relationship was not changed until the appearance of the first insurance against-sickness through a third party </w:t>
      </w:r>
      <w:r w:rsidR="003668EA" w:rsidRPr="003668EA">
        <w:rPr>
          <w:noProof/>
        </w:rPr>
        <w:t>(Young &amp; Kroth, 2018)</w:t>
      </w:r>
      <w:r>
        <w:t>.</w:t>
      </w:r>
      <w:bookmarkEnd w:id="0"/>
      <w:r w:rsidRPr="00AE7E75">
        <w:t xml:space="preserve"> </w:t>
      </w:r>
      <w:r>
        <w:t xml:space="preserve">The creation of the Blue Cross hospital insurance can be considered as a pivotal factor during early beginnings of the U.S. health care system </w:t>
      </w:r>
      <w:sdt>
        <w:sdtPr>
          <w:id w:val="-535585964"/>
          <w:citation/>
        </w:sdtPr>
        <w:sdtEndPr/>
        <w:sdtContent>
          <w:r>
            <w:fldChar w:fldCharType="begin"/>
          </w:r>
          <w:r>
            <w:instrText xml:space="preserve">CITATION Placeholder1 \l 2058 </w:instrText>
          </w:r>
          <w:r>
            <w:fldChar w:fldCharType="separate"/>
          </w:r>
          <w:r w:rsidR="003668EA" w:rsidRPr="003668EA">
            <w:rPr>
              <w:noProof/>
            </w:rPr>
            <w:t>(Young &amp; Kroth, Public health and the role of government in health care, 2018)</w:t>
          </w:r>
          <w:r>
            <w:fldChar w:fldCharType="end"/>
          </w:r>
        </w:sdtContent>
      </w:sdt>
      <w:r>
        <w:t xml:space="preserve">.  </w:t>
      </w:r>
      <w:bookmarkStart w:id="1" w:name="_Hlk7114015"/>
      <w:r>
        <w:t xml:space="preserve">This model was replicated in subsequent years by hospitals and had a more prominent use after World War II due to the tax exempt status provided by the government </w:t>
      </w:r>
      <w:sdt>
        <w:sdtPr>
          <w:id w:val="790174762"/>
          <w:citation/>
        </w:sdtPr>
        <w:sdtEndPr/>
        <w:sdtContent>
          <w:r>
            <w:fldChar w:fldCharType="begin"/>
          </w:r>
          <w:r>
            <w:instrText xml:space="preserve">CITATION Placeholder1 \l 2058 </w:instrText>
          </w:r>
          <w:r>
            <w:fldChar w:fldCharType="separate"/>
          </w:r>
          <w:r w:rsidR="003668EA" w:rsidRPr="003668EA">
            <w:rPr>
              <w:noProof/>
            </w:rPr>
            <w:t>(Young &amp; Kroth, Public health and the role of government in health care, 2018)</w:t>
          </w:r>
          <w:r>
            <w:fldChar w:fldCharType="end"/>
          </w:r>
        </w:sdtContent>
      </w:sdt>
      <w:r>
        <w:t>.</w:t>
      </w:r>
      <w:bookmarkEnd w:id="1"/>
      <w:r>
        <w:t xml:space="preserve">  This can be accounted as the first milestone for federal contribution into the promotion of health insurance coverage.</w:t>
      </w:r>
    </w:p>
    <w:p w14:paraId="02BFFD1D" w14:textId="0806E5F2" w:rsidR="005807E3" w:rsidRDefault="005807E3" w:rsidP="005807E3">
      <w:r>
        <w:t xml:space="preserve">One of the first provisions for the Social Security legislation and public health care was created by Franklin D. Roosevelt in 1933.  This provision included publicly funded health care programs </w:t>
      </w:r>
      <w:r>
        <w:fldChar w:fldCharType="begin" w:fldLock="1"/>
      </w:r>
      <w:r>
        <w:instrText>ADDIN CSL_CITATION {"citationItems":[{"id":"ITEM-1","itemData":{"ISSN":"2150-1149","PMID":"28339426","abstract":"Major health policy creation or changes, including governmental and private policies affecting health care delivery are based on health care reform(s). Health care reform has been a global issue over the years and the United States has seen proposals for multiple reforms over the years. A successful, health care proposal in the United States with involvement of the federal government was the short-lived establishment of the first system of national medical care in the South. In the 20th century, the United States was influenced by progressivism leading to the initiation of efforts to achieve universal coverage, supported by a Republican presidential candidate, Theodore Roosevelt. In 1933, Franklin D. Roosevelt, a Democrat, included a publicly funded health care program while drafting provisions to Social Security legislation, which was eliminated from the final legislation. Subsequently, multiple proposals were introduced, starting in 1949 with President Harry S Truman who proposed universal health care; the proposal by Lyndon B. Johnson with Social Security Act in 1965 which created Medicare and Medicaid; proposals by Ted Kennedy and President Richard Nixon that promoted variations of universal health care. presidential candidate Jimmy Carter also proposed universal health care. This was followed by an effort by President Bill Clinton and headed by first lady Hillary Clinton in 1993, but was not enacted into law. Finally, the election of President Barack Obama and control of both houses of Congress by the Democrats led to the passage of the Affordable Care Act (ACA), often referred to as \"ObamaCare\" was signed into law in March 2010. Since then, the ACA, or Obamacare, has become a centerpiece of political campaigning. The Republicans now control the presidency and both houses of Congress and are attempting to repeal and replace the ACA. Key words: Health care reform, Affordable Care Act (ACA), Obamacare, Medicare, Medicaid, American Health Care Act.","author":[{"dropping-particle":"","family":"Manchikanti","given":"Laxmaiah","non-dropping-particle":"","parse-names":false,"suffix":""},{"dropping-particle":"","family":"Helm Ii","given":"Standiford","non-dropping-particle":"","parse-names":false,"suffix":""},{"dropping-particle":"","family":"Benyamin","given":"Ramsin M","non-dropping-particle":"","parse-names":false,"suffix":""},{"dropping-particle":"","family":"Hirsch","given":"Joshua A","non-dropping-particle":"","parse-names":false,"suffix":""}],"container-title":"Pain physician","id":"ITEM-1","issue":"3","issued":{"date-parts":[["2017"]]},"page":"107-110","title":"Evolution of US Health Care Reform.","type":"article-journal","volume":"20"},"uris":["http://www.mendeley.com/documents/?uuid=2f4110be-5ade-4536-975b-9d1790b21d82"]}],"mendeley":{"formattedCitation":"(Manchikanti, Helm Ii, Benyamin, &amp; Hirsch, 2017)","plainTextFormattedCitation":"(Manchikanti, Helm Ii, Benyamin, &amp; Hirsch, 2017)","previouslyFormattedCitation":"(Manchikanti, Helm Ii, Benyamin, &amp; Hirsch, 2017)"},"properties":{"noteIndex":0},"schema":"https://github.com/citation-style-language/schema/raw/master/csl-citation.json"}</w:instrText>
      </w:r>
      <w:r>
        <w:fldChar w:fldCharType="separate"/>
      </w:r>
      <w:r w:rsidRPr="00AD1D20">
        <w:rPr>
          <w:noProof/>
        </w:rPr>
        <w:t>(Manchikanti, Helm Ii, Benyamin, &amp; Hirsch, 2017)</w:t>
      </w:r>
      <w:r>
        <w:fldChar w:fldCharType="end"/>
      </w:r>
      <w:r>
        <w:t xml:space="preserve">. </w:t>
      </w:r>
      <w:r w:rsidR="003668EA">
        <w:t>I</w:t>
      </w:r>
      <w:r>
        <w:t xml:space="preserve">n 1965, President Lyndon B. Johnson signed one of the most significant legislations for health coverage: Medicare and Medicaid </w:t>
      </w:r>
      <w:r>
        <w:fldChar w:fldCharType="begin" w:fldLock="1"/>
      </w:r>
      <w:r>
        <w:instrText>ADDIN CSL_CITATION {"citationItems":[{"id":"ITEM-1","itemData":{"ISSN":"2150-1149","PMID":"28339426","abstract":"Major health policy creation or changes, including governmental and private policies affecting health care delivery are based on health care reform(s). Health care reform has been a global issue over the years and the United States has seen proposals for multiple reforms over the years. A successful, health care proposal in the United States with involvement of the federal government was the short-lived establishment of the first system of national medical care in the South. In the 20th century, the United States was influenced by progressivism leading to the initiation of efforts to achieve universal coverage, supported by a Republican presidential candidate, Theodore Roosevelt. In 1933, Franklin D. Roosevelt, a Democrat, included a publicly funded health care program while drafting provisions to Social Security legislation, which was eliminated from the final legislation. Subsequently, multiple proposals were introduced, starting in 1949 with President Harry S Truman who proposed universal health care; the proposal by Lyndon B. Johnson with Social Security Act in 1965 which created Medicare and Medicaid; proposals by Ted Kennedy and President Richard Nixon that promoted variations of universal health care. presidential candidate Jimmy Carter also proposed universal health care. This was followed by an effort by President Bill Clinton and headed by first lady Hillary Clinton in 1993, but was not enacted into law. Finally, the election of President Barack Obama and control of both houses of Congress by the Democrats led to the passage of the Affordable Care Act (ACA), often referred to as \"ObamaCare\" was signed into law in March 2010. Since then, the ACA, or Obamacare, has become a centerpiece of political campaigning. The Republicans now control the presidency and both houses of Congress and are attempting to repeal and replace the ACA. Key words: Health care reform, Affordable Care Act (ACA), Obamacare, Medicare, Medicaid, American Health Care Act.","author":[{"dropping-particle":"","family":"Manchikanti","given":"Laxmaiah","non-dropping-particle":"","parse-names":false,"suffix":""},{"dropping-particle":"","family":"Helm Ii","given":"Standiford","non-dropping-particle":"","parse-names":false,"suffix":""},{"dropping-particle":"","family":"Benyamin","given":"Ramsin M","non-dropping-particle":"","parse-names":false,"suffix":""},{"dropping-particle":"","family":"Hirsch","given":"Joshua A","non-dropping-particle":"","parse-names":false,"suffix":""}],"container-title":"Pain physician","id":"ITEM-1","issue":"3","issued":{"date-parts":[["2017"]]},"page":"107-110","title":"Evolution of US Health Care Reform.","type":"article-journal","volume":"20"},"uris":["http://www.mendeley.com/documents/?uuid=2f4110be-5ade-4536-975b-9d1790b21d82"]}],"mendeley":{"formattedCitation":"(Manchikanti et al., 2017)","plainTextFormattedCitation":"(Manchikanti et al., 2017)","previouslyFormattedCitation":"(Manchikanti et al., 2017)"},"properties":{"noteIndex":0},"schema":"https://github.com/citation-style-language/schema/raw/master/csl-citation.json"}</w:instrText>
      </w:r>
      <w:r>
        <w:fldChar w:fldCharType="separate"/>
      </w:r>
      <w:r w:rsidRPr="00AE7E75">
        <w:rPr>
          <w:noProof/>
        </w:rPr>
        <w:t>(Manchikanti et al., 2017)</w:t>
      </w:r>
      <w:r>
        <w:fldChar w:fldCharType="end"/>
      </w:r>
      <w:r>
        <w:t xml:space="preserve">.  This government-sponsored insurance aimed to cover older adults and low-income populations </w:t>
      </w:r>
      <w:sdt>
        <w:sdtPr>
          <w:id w:val="1119034187"/>
          <w:citation/>
        </w:sdtPr>
        <w:sdtEndPr/>
        <w:sdtContent>
          <w:r>
            <w:fldChar w:fldCharType="begin"/>
          </w:r>
          <w:r w:rsidRPr="00AE7E75">
            <w:instrText xml:space="preserve"> CITATION You18 \l 2058 </w:instrText>
          </w:r>
          <w:r>
            <w:fldChar w:fldCharType="separate"/>
          </w:r>
          <w:r w:rsidR="003668EA" w:rsidRPr="003668EA">
            <w:rPr>
              <w:noProof/>
            </w:rPr>
            <w:t>(Young &amp; Kroth, Benchmark Developments in U.S. Health Care, 2018)</w:t>
          </w:r>
          <w:r>
            <w:fldChar w:fldCharType="end"/>
          </w:r>
        </w:sdtContent>
      </w:sdt>
      <w:r>
        <w:t xml:space="preserve">.   As a result, </w:t>
      </w:r>
      <w:bookmarkStart w:id="2" w:name="_Hlk7114062"/>
      <w:r>
        <w:t xml:space="preserve">the role of the government during the promotion of coverage has been a determinant factor on the creation of programs such as Medicaid, Medicare, and, more recently, Affordable Care Act (ACA) </w:t>
      </w:r>
      <w:r>
        <w:fldChar w:fldCharType="begin" w:fldLock="1"/>
      </w:r>
      <w:r>
        <w:instrText>ADDIN CSL_CITATION {"citationItems":[{"id":"ITEM-1","itemData":{"ISSN":"2150-1149","PMID":"28339426","abstract":"Major health policy creation or changes, including governmental and private policies affecting health care delivery are based on health care reform(s). Health care reform has been a global issue over the years and the United States has seen proposals for multiple reforms over the years. A successful, health care proposal in the United States with involvement of the federal government was the short-lived establishment of the first system of national medical care in the South. In the 20th century, the United States was influenced by progressivism leading to the initiation of efforts to achieve universal coverage, supported by a Republican presidential candidate, Theodore Roosevelt. In 1933, Franklin D. Roosevelt, a Democrat, included a publicly funded health care program while drafting provisions to Social Security legislation, which was eliminated from the final legislation. Subsequently, multiple proposals were introduced, starting in 1949 with President Harry S Truman who proposed universal health care; the proposal by Lyndon B. Johnson with Social Security Act in 1965 which created Medicare and Medicaid; proposals by Ted Kennedy and President Richard Nixon that promoted variations of universal health care. presidential candidate Jimmy Carter also proposed universal health care. This was followed by an effort by President Bill Clinton and headed by first lady Hillary Clinton in 1993, but was not enacted into law. Finally, the election of President Barack Obama and control of both houses of Congress by the Democrats led to the passage of the Affordable Care Act (ACA), often referred to as \"ObamaCare\" was signed into law in March 2010. Since then, the ACA, or Obamacare, has become a centerpiece of political campaigning. The Republicans now control the presidency and both houses of Congress and are attempting to repeal and replace the ACA. Key words: Health care reform, Affordable Care Act (ACA), Obamacare, Medicare, Medicaid, American Health Care Act.","author":[{"dropping-particle":"","family":"Manchikanti","given":"Laxmaiah","non-dropping-particle":"","parse-names":false,"suffix":""},{"dropping-particle":"","family":"Helm Ii","given":"Standiford","non-dropping-particle":"","parse-names":false,"suffix":""},{"dropping-particle":"","family":"Benyamin","given":"Ramsin M","non-dropping-particle":"","parse-names":false,"suffix":""},{"dropping-particle":"","family":"Hirsch","given":"Joshua A","non-dropping-particle":"","parse-names":false,"suffix":""}],"container-title":"Pain physician","id":"ITEM-1","issue":"3","issued":{"date-parts":[["2017"]]},"page":"107-110","title":"Evolution of US Health Care Reform.","type":"article-journal","volume":"20"},"uris":["http://www.mendeley.com/documents/?uuid=2f4110be-5ade-4536-975b-9d1790b21d82"]}],"mendeley":{"formattedCitation":"(Manchikanti et al., 2017)","plainTextFormattedCitation":"(Manchikanti et al., 2017)","previouslyFormattedCitation":"(Manchikanti et al., 2017)"},"properties":{"noteIndex":0},"schema":"https://github.com/citation-style-language/schema/raw/master/csl-citation.json"}</w:instrText>
      </w:r>
      <w:r>
        <w:fldChar w:fldCharType="separate"/>
      </w:r>
      <w:r w:rsidRPr="00AE7E75">
        <w:rPr>
          <w:noProof/>
        </w:rPr>
        <w:t>(Manchikanti et al., 2017)</w:t>
      </w:r>
      <w:r>
        <w:fldChar w:fldCharType="end"/>
      </w:r>
      <w:r>
        <w:t>.</w:t>
      </w:r>
      <w:bookmarkEnd w:id="2"/>
    </w:p>
    <w:p w14:paraId="1A5DF397" w14:textId="43423432" w:rsidR="005807E3" w:rsidRDefault="005807E3" w:rsidP="005807E3">
      <w:bookmarkStart w:id="3" w:name="_Hlk7114089"/>
      <w:r>
        <w:lastRenderedPageBreak/>
        <w:t>In the early 20</w:t>
      </w:r>
      <w:r w:rsidRPr="000B7BE3">
        <w:rPr>
          <w:vertAlign w:val="superscript"/>
        </w:rPr>
        <w:t>th</w:t>
      </w:r>
      <w:r>
        <w:t xml:space="preserve"> century</w:t>
      </w:r>
      <w:r w:rsidR="003668EA">
        <w:t>,</w:t>
      </w:r>
      <w:r>
        <w:t xml:space="preserve"> acute care hospital was becoming the central unit of healthcare. The emphasis was made on providing care for acute patients and mostly neglecting outpatient, ambulatory, critical care and rehabilitation</w:t>
      </w:r>
      <w:sdt>
        <w:sdtPr>
          <w:id w:val="1009870097"/>
          <w:citation/>
        </w:sdtPr>
        <w:sdtEndPr/>
        <w:sdtContent>
          <w:r>
            <w:fldChar w:fldCharType="begin"/>
          </w:r>
          <w:r w:rsidRPr="000B7BE3">
            <w:instrText xml:space="preserve"> CITATION Placeholder1 \l 2058 </w:instrText>
          </w:r>
          <w:r>
            <w:fldChar w:fldCharType="separate"/>
          </w:r>
          <w:r w:rsidR="003668EA">
            <w:rPr>
              <w:noProof/>
            </w:rPr>
            <w:t xml:space="preserve"> </w:t>
          </w:r>
          <w:r w:rsidR="003668EA" w:rsidRPr="003668EA">
            <w:rPr>
              <w:noProof/>
            </w:rPr>
            <w:t>(Young &amp; Kroth, Public health and the role of government in health care, 2018)</w:t>
          </w:r>
          <w:r>
            <w:fldChar w:fldCharType="end"/>
          </w:r>
        </w:sdtContent>
      </w:sdt>
      <w:r>
        <w:t>.  All these factors contributed and continue to contribute to the current status of the U.S. health care system paradox:  great spending and low health care quality.  As a result of this, on 2010, the Affordable Care Act was created in order to leverage some of the issues of the U.S. health care system.</w:t>
      </w:r>
    </w:p>
    <w:p w14:paraId="37D1DB25" w14:textId="331F8EF1" w:rsidR="003668EA" w:rsidRDefault="005807E3" w:rsidP="003668EA">
      <w:bookmarkStart w:id="4" w:name="_Hlk7114136"/>
      <w:bookmarkEnd w:id="3"/>
      <w:r>
        <w:t xml:space="preserve">Currently, health care organizations derive their flow of funds from two main categories: patients and non-patients </w:t>
      </w:r>
      <w:r>
        <w:fldChar w:fldCharType="begin" w:fldLock="1"/>
      </w:r>
      <w:r>
        <w:instrText>ADDIN CSL_CITATION {"citationItems":[{"id":"ITEM-1","itemData":{"ISBN":"9781284094633","author":[{"dropping-particle":"","family":"Cleverley","given":"W O.","non-dropping-particle":"","parse-names":false,"suffix":""}],"chapter-number":"3","container-title":"Essentials of Health Care Finance","edition":"5","id":"ITEM-1","issued":{"date-parts":[["2018"]]},"page":"31-56","publisher":"Jones &amp; Bartlett Learning","publisher-place":"Burlington, MA","title":"Financial Environment of Health Care Organizations","type":"chapter"},"uris":["http://www.mendeley.com/documents/?uuid=65b91d3e-75a8-4fc2-b891-7d4a906842b5"]}],"mendeley":{"formattedCitation":"(Cleverley, 2018)","plainTextFormattedCitation":"(Cleverley, 2018)","previouslyFormattedCitation":"(Cleverley, 2018)"},"properties":{"noteIndex":0},"schema":"https://github.com/citation-style-language/schema/raw/master/csl-citation.json"}</w:instrText>
      </w:r>
      <w:r>
        <w:fldChar w:fldCharType="separate"/>
      </w:r>
      <w:r w:rsidRPr="006F72E5">
        <w:rPr>
          <w:noProof/>
        </w:rPr>
        <w:t>(Cleverley, 2018)</w:t>
      </w:r>
      <w:r>
        <w:fldChar w:fldCharType="end"/>
      </w:r>
      <w:r>
        <w:t xml:space="preserve">. On the other hand, the main suppliers for health care organizations can be categorized into the following groups: employees, equipment suppliers, service contractors, vendors of consumable supplies and lenders </w:t>
      </w:r>
      <w:r>
        <w:fldChar w:fldCharType="begin" w:fldLock="1"/>
      </w:r>
      <w:r>
        <w:instrText>ADDIN CSL_CITATION {"citationItems":[{"id":"ITEM-1","itemData":{"ISBN":"9781284094633","author":[{"dropping-particle":"","family":"Cleverley","given":"W O.","non-dropping-particle":"","parse-names":false,"suffix":""}],"chapter-number":"3","container-title":"Essentials of Health Care Finance","edition":"5","id":"ITEM-1","issued":{"date-parts":[["2018"]]},"page":"31-56","publisher":"Jones &amp; Bartlett Learning","publisher-place":"Burlington, MA","title":"Financial Environment of Health Care Organizations","type":"chapter"},"uris":["http://www.mendeley.com/documents/?uuid=65b91d3e-75a8-4fc2-b891-7d4a906842b5"]}],"mendeley":{"formattedCitation":"(Cleverley, 2018)","plainTextFormattedCitation":"(Cleverley, 2018)","previouslyFormattedCitation":"(Cleverley, 2018)"},"properties":{"noteIndex":0},"schema":"https://github.com/citation-style-language/schema/raw/master/csl-citation.json"}</w:instrText>
      </w:r>
      <w:r>
        <w:fldChar w:fldCharType="separate"/>
      </w:r>
      <w:r w:rsidRPr="006F72E5">
        <w:rPr>
          <w:noProof/>
        </w:rPr>
        <w:t>(Cleverley, 2018)</w:t>
      </w:r>
      <w:r>
        <w:fldChar w:fldCharType="end"/>
      </w:r>
      <w:r>
        <w:t xml:space="preserve">.  More than 50% of the funding for a hospital derives from public funding, such as, Medicare and Medicaid.  And, private insurance makes the second largest contribution to hospital funding </w:t>
      </w:r>
      <w:r>
        <w:fldChar w:fldCharType="begin" w:fldLock="1"/>
      </w:r>
      <w:r>
        <w:instrText>ADDIN CSL_CITATION {"citationItems":[{"id":"ITEM-1","itemData":{"ISBN":"9781284094633","author":[{"dropping-particle":"","family":"Cleverley","given":"W O.","non-dropping-particle":"","parse-names":false,"suffix":""}],"chapter-number":"3","container-title":"Essentials of Health Care Finance","edition":"5","id":"ITEM-1","issued":{"date-parts":[["2018"]]},"page":"31-56","publisher":"Jones &amp; Bartlett Learning","publisher-place":"Burlington, MA","title":"Financial Environment of Health Care Organizations","type":"chapter"},"uris":["http://www.mendeley.com/documents/?uuid=65b91d3e-75a8-4fc2-b891-7d4a906842b5"]}],"mendeley":{"formattedCitation":"(Cleverley, 2018)","plainTextFormattedCitation":"(Cleverley, 2018)","previouslyFormattedCitation":"(Cleverley, 2018)"},"properties":{"noteIndex":0},"schema":"https://github.com/citation-style-language/schema/raw/master/csl-citation.json"}</w:instrText>
      </w:r>
      <w:r>
        <w:fldChar w:fldCharType="separate"/>
      </w:r>
      <w:r w:rsidRPr="006F72E5">
        <w:rPr>
          <w:noProof/>
        </w:rPr>
        <w:t>(Cleverley, 2018)</w:t>
      </w:r>
      <w:r>
        <w:fldChar w:fldCharType="end"/>
      </w:r>
      <w:bookmarkEnd w:id="4"/>
      <w:r>
        <w:t xml:space="preserve">.  Over the past years, health care organizations have developed several different contractual relationships with payers that derive from different modes of payment units </w:t>
      </w:r>
      <w:r>
        <w:fldChar w:fldCharType="begin" w:fldLock="1"/>
      </w:r>
      <w:r>
        <w:instrText>ADDIN CSL_CITATION {"citationItems":[{"id":"ITEM-1","itemData":{"ISBN":"9781284094633","author":[{"dropping-particle":"","family":"Cleverley","given":"W O.","non-dropping-particle":"","parse-names":false,"suffix":""}],"chapter-number":"3","container-title":"Essentials of Health Care Finance","edition":"5","id":"ITEM-1","issued":{"date-parts":[["2018"]]},"page":"31-56","publisher":"Jones &amp; Bartlett Learning","publisher-place":"Burlington, MA","title":"Financial Environment of Health Care Organizations","type":"chapter"},"uris":["http://www.mendeley.com/documents/?uuid=65b91d3e-75a8-4fc2-b891-7d4a906842b5"]}],"mendeley":{"formattedCitation":"(Cleverley, 2018)","plainTextFormattedCitation":"(Cleverley, 2018)","previouslyFormattedCitation":"(Cleverley, 2018)"},"properties":{"noteIndex":0},"schema":"https://github.com/citation-style-language/schema/raw/master/csl-citation.json"}</w:instrText>
      </w:r>
      <w:r>
        <w:fldChar w:fldCharType="separate"/>
      </w:r>
      <w:r w:rsidRPr="006F72E5">
        <w:rPr>
          <w:noProof/>
        </w:rPr>
        <w:t>(Cleverley, 2018)</w:t>
      </w:r>
      <w:r>
        <w:fldChar w:fldCharType="end"/>
      </w:r>
      <w:r>
        <w:t xml:space="preserve"> and with added capitalization problems </w:t>
      </w:r>
      <w:r>
        <w:fldChar w:fldCharType="begin" w:fldLock="1"/>
      </w:r>
      <w:r w:rsidR="007B31F0">
        <w:instrText>ADDIN CSL_CITATION {"citationItems":[{"id":"ITEM-1","itemData":{"ISSN":"1062-3388","PMID":"27265971","abstract":"PURPOSE To quantify prescription drug price increases over a span of 3 years (2012-2015), as well as extrapolate current reimbursement rates expected by independent retail pharmacies. In addition, we investigate potential reasons for these increasing drug costs. DESIGN Descriptive analysis. METHODOLOGY National average drug acquisition costs (NADAC) data published by the Centers for Medicare &amp; Medicaid Services were examined. Specifically, December 2012, 2013, and 2014, and July 2015 NADAC files were analyzed to identify generic and branded products with the highest percentage price increases. Percentage price differences were also calculated for 17 first-in-class drugs and their \"me-too\" competitors. The margin and margin percentage were calculated for claims adjudicated through four major payers. RESULTS The top 50 generic drug price increases ranged from 474% to over 18,000% from December 2012 to July 2015. The top 50 branded drug price increases ranged from 63% to 391% during the same time period. The percentage price difference for the first-in-class drugs versus their me-too analogues ranged from -2.3% to 61,259%. The margin for generic drug claims adjudicated ranged from -$237.11 to-$1,105.96. The margin for branded drug claims adjudicated ranged from $272.42 to $360.17. CONCLUSION Several potential reasons for the surge in prescription drug prices include manufacturer competition, industry consolidation, and capitalization on me-too drugs. This increase has compelled PBMs, health plan sponsors, and retail pharmacies to find novel ways to turn a profit, often at the expense of the consumer. Although there are no immediate solutions, legislation regulating PBM functions and the use of therapeutic interchange programs may offer health plans some assistance in managing drug costs.","author":[{"dropping-particle":"","family":"Vega","given":"Ana D","non-dropping-particle":"","parse-names":false,"suffix":""},{"dropping-particle":"","family":"Meola","given":"Paul P","non-dropping-particle":"","parse-names":false,"suffix":""},{"dropping-particle":"","family":"Barcelo","given":"Ramon Julio","non-dropping-particle":"","parse-names":false,"suffix":""},{"dropping-particle":"","family":"Ruiz","given":"Heidi M Perez","non-dropping-particle":"","parse-names":false,"suffix":""},{"dropping-particle":"","family":"Oh","given":"Stephanie A","non-dropping-particle":"","parse-names":false,"suffix":""},{"dropping-particle":"","family":"Oh","given":"Taeho","non-dropping-particle":"","parse-names":false,"suffix":""}],"container-title":"Managed care (Langhorne, Pa.)","id":"ITEM-1","issue":"4","issued":{"date-parts":[["2016"]]},"page":"41-9","title":"Commentary on Current Trends in Rising Drug Costs and Reimbursement Below Cost.","type":"article-journal","volume":"25"},"uris":["http://www.mendeley.com/documents/?uuid=1bcc143c-926a-44a5-9e7c-d41f1e6b218f"]}],"mendeley":{"formattedCitation":"(Vega et al., 2016)","plainTextFormattedCitation":"(Vega et al., 2016)","previouslyFormattedCitation":"(Vega et al., 2016)"},"properties":{"noteIndex":0},"schema":"https://github.com/citation-style-language/schema/raw/master/csl-citation.json"}</w:instrText>
      </w:r>
      <w:r>
        <w:fldChar w:fldCharType="separate"/>
      </w:r>
      <w:r w:rsidRPr="003423AC">
        <w:rPr>
          <w:noProof/>
        </w:rPr>
        <w:t>(Vega et al., 2016)</w:t>
      </w:r>
      <w:r>
        <w:fldChar w:fldCharType="end"/>
      </w:r>
      <w:r>
        <w:t xml:space="preserve">.  </w:t>
      </w:r>
    </w:p>
    <w:p w14:paraId="14F968E3" w14:textId="349EFB4B" w:rsidR="005807E3" w:rsidRDefault="005807E3" w:rsidP="003668EA">
      <w:bookmarkStart w:id="5" w:name="_Hlk7114165"/>
      <w:r>
        <w:t xml:space="preserve">Whether health care organizations are investor owned or non-for-profit, there is an increasing pressure to do more with less resources </w:t>
      </w:r>
      <w:r>
        <w:fldChar w:fldCharType="begin" w:fldLock="1"/>
      </w:r>
      <w:r>
        <w:instrText>ADDIN CSL_CITATION {"citationItems":[{"id":"ITEM-1","itemData":{"DOI":"10.1177/2333392815590397","ISSN":"2333-3928","PMID":"28462258","abstract":"OBJECTIVES This paper evaluates the drivers of profitability for a large sample of U.S. hospitals. Following a methodology frequently used by financial analysts, we use a DuPont analysis as a framework to evaluate the quality of earnings. By decomposing returns on equity (ROE) into profit margin, total asset turnover, and capital structure, the DuPont analysis reveals what drives overall profitability. METHODS Profit margin, the efficiency with which services are rendered (total asset turnover), and capital structure is calculated for 3,255 U.S. hospitals between 2007 and 2012 using data from the Centers for Medicare &amp; Medicaid Services' Healthcare Cost Report Information System (CMS Form 2552). The sample is then stratified by ownership, size, system affiliation, teaching status, critical access designation, and urban or non-urban location. Those hospital characteristics and interaction terms are then regressed (OLS) against the ROE and the respective DuPont components. Sensitivity to regression methodology is also investigated using a seemingly unrelated regression. RESULTS When the sample is stratified by hospital characteristics, the results indicate investor-owned hospitals have higher profit margins, higher efficiency, and are substantially more leveraged. Hospitals in systems are found to have higher ROE, margins, and efficiency but are associated with less leverage. In addition, a number of important and significant interactions between teaching status, ownership, location, critical access designation, and inclusion in a system are documented. Many of the significant relationships, most notably not-for-profit ownership, lose significance or are predominately associated with one interaction effect when interaction terms are introduced as explanatory variables. Results are not sensitive to the alternative methodology. CONCLUSION The results of the DuPont analysis suggest that although there appears to be convergence in the behavior of NFP and IO hospitals, significant financial differences remain depending on their respective hospital characteristics. Those differences are tempered or exacerbated by location, size, teaching status, system affiliation, and critical access designation. With the exception of cost-based reimbursement for critical access hospitals, emerging payment systems are placing additional financial pressures on hospitals. The financial pressures being applied treat hospitals as a monolithic category and, given the delicate and o…","author":[{"dropping-particle":"","family":"Turner","given":"Jason","non-dropping-particle":"","parse-names":false,"suffix":""},{"dropping-particle":"","family":"Broom","given":"Kevin","non-dropping-particle":"","parse-names":false,"suffix":""},{"dropping-particle":"","family":"Elliott","given":"Michael","non-dropping-particle":"","parse-names":false,"suffix":""},{"dropping-particle":"","family":"Lee","given":"Jen-Fu","non-dropping-particle":"","parse-names":false,"suffix":""}],"container-title":"Health Services Research and Managerial Epidemiology","id":"ITEM-1","issued":{"date-parts":[["2015"]]},"page":"233339281559039","title":"A Decomposition of Hospital Profitability","type":"article-journal","volume":"2"},"uris":["http://www.mendeley.com/documents/?uuid=92aac1d4-d2b9-4cac-bcb5-bfd5f7ad6031"]}],"mendeley":{"formattedCitation":"(Turner, Broom, Elliott, &amp; Lee, 2015)","plainTextFormattedCitation":"(Turner, Broom, Elliott, &amp; Lee, 2015)","previouslyFormattedCitation":"(Turner, Broom, Elliott, &amp; Lee, 2015)"},"properties":{"noteIndex":0},"schema":"https://github.com/citation-style-language/schema/raw/master/csl-citation.json"}</w:instrText>
      </w:r>
      <w:r>
        <w:fldChar w:fldCharType="separate"/>
      </w:r>
      <w:r w:rsidRPr="00891C98">
        <w:rPr>
          <w:noProof/>
        </w:rPr>
        <w:t>(Turner, Broom, Elliott, &amp; Lee, 2015)</w:t>
      </w:r>
      <w:r>
        <w:fldChar w:fldCharType="end"/>
      </w:r>
      <w:bookmarkEnd w:id="5"/>
      <w:r>
        <w:t xml:space="preserve">.  This can be challenging for large institutions where efficiency of facilities drops as the size of the facility gets larger </w:t>
      </w:r>
      <w:r>
        <w:fldChar w:fldCharType="begin" w:fldLock="1"/>
      </w:r>
      <w:r>
        <w:instrText>ADDIN CSL_CITATION {"citationItems":[{"id":"ITEM-1","itemData":{"DOI":"10.1177/2333392815590397","ISSN":"2333-3928","PMID":"28462258","abstract":"OBJECTIVES This paper evaluates the drivers of profitability for a large sample of U.S. hospitals. Following a methodology frequently used by financial analysts, we use a DuPont analysis as a framework to evaluate the quality of earnings. By decomposing returns on equity (ROE) into profit margin, total asset turnover, and capital structure, the DuPont analysis reveals what drives overall profitability. METHODS Profit margin, the efficiency with which services are rendered (total asset turnover), and capital structure is calculated for 3,255 U.S. hospitals between 2007 and 2012 using data from the Centers for Medicare &amp; Medicaid Services' Healthcare Cost Report Information System (CMS Form 2552). The sample is then stratified by ownership, size, system affiliation, teaching status, critical access designation, and urban or non-urban location. Those hospital characteristics and interaction terms are then regressed (OLS) against the ROE and the respective DuPont components. Sensitivity to regression methodology is also investigated using a seemingly unrelated regression. RESULTS When the sample is stratified by hospital characteristics, the results indicate investor-owned hospitals have higher profit margins, higher efficiency, and are substantially more leveraged. Hospitals in systems are found to have higher ROE, margins, and efficiency but are associated with less leverage. In addition, a number of important and significant interactions between teaching status, ownership, location, critical access designation, and inclusion in a system are documented. Many of the significant relationships, most notably not-for-profit ownership, lose significance or are predominately associated with one interaction effect when interaction terms are introduced as explanatory variables. Results are not sensitive to the alternative methodology. CONCLUSION The results of the DuPont analysis suggest that although there appears to be convergence in the behavior of NFP and IO hospitals, significant financial differences remain depending on their respective hospital characteristics. Those differences are tempered or exacerbated by location, size, teaching status, system affiliation, and critical access designation. With the exception of cost-based reimbursement for critical access hospitals, emerging payment systems are placing additional financial pressures on hospitals. The financial pressures being applied treat hospitals as a monolithic category and, given the delicate and o…","author":[{"dropping-particle":"","family":"Turner","given":"Jason","non-dropping-particle":"","parse-names":false,"suffix":""},{"dropping-particle":"","family":"Broom","given":"Kevin","non-dropping-particle":"","parse-names":false,"suffix":""},{"dropping-particle":"","family":"Elliott","given":"Michael","non-dropping-particle":"","parse-names":false,"suffix":""},{"dropping-particle":"","family":"Lee","given":"Jen-Fu","non-dropping-particle":"","parse-names":false,"suffix":""}],"container-title":"Health Services Research and Managerial Epidemiology","id":"ITEM-1","issued":{"date-parts":[["2015"]]},"page":"233339281559039","title":"A Decomposition of Hospital Profitability","type":"article-journal","volume":"2"},"uris":["http://www.mendeley.com/documents/?uuid=92aac1d4-d2b9-4cac-bcb5-bfd5f7ad6031"]}],"mendeley":{"formattedCitation":"(Turner et al., 2015)","plainTextFormattedCitation":"(Turner et al., 2015)","previouslyFormattedCitation":"(Turner et al., 2015)"},"properties":{"noteIndex":0},"schema":"https://github.com/citation-style-language/schema/raw/master/csl-citation.json"}</w:instrText>
      </w:r>
      <w:r>
        <w:fldChar w:fldCharType="separate"/>
      </w:r>
      <w:r w:rsidRPr="00891C98">
        <w:rPr>
          <w:noProof/>
        </w:rPr>
        <w:t>(Turner et al., 2015)</w:t>
      </w:r>
      <w:r>
        <w:fldChar w:fldCharType="end"/>
      </w:r>
      <w:r>
        <w:t xml:space="preserve">.  This lack of efficiency was reflected in the United States low rank in overall health care performance  for developed countries </w:t>
      </w:r>
      <w:r>
        <w:fldChar w:fldCharType="begin" w:fldLock="1"/>
      </w:r>
      <w:r>
        <w:instrText>ADDIN CSL_CITATION {"citationItems":[{"id":"ITEM-1","itemData":{"abstract":"2016 Global health care outlook | Battling costs while improving care 1 2015 Greater Philadelphia Alumni Reception 2016 Global health care outlook Battling costs while improving care 2 Change is the new normal for the global health care sector. As providers, payers, governments, and other stakeholders strive to deliver effective, efficient, and equitable care, they do so in an ecosystem that is undergoing a dramatic and fundamental shift in business, clinical, and operating models. This shift is being fueled by aging and growing populations; the proliferation of chronic diseases; heightened focus on care quality and value; evolving financial and quality regulations; informed and empowered consumers; and innovative treatments and technologies — all of which are leading to rising costs and an increase in spending levels for care provision, infrastructure improvements, and technology innovations. The Economist Intelligence Unit (EIU) reports that health care spending in the 60 countries that it covers rose by 2.6 percent in nominal U.S. dollar terms in 2014 but that spending is forecasted to dip in 2015, reflecting the current weakness of the euro and other currencies against the U.S. dollar (USD)*. 1 On a Gross Domestic Product (GDP) and per-capita basis, the most recent figures available from the World Health Organization (WHO) show that health care spending varies greatly among developed and developing countries (Figure 1).","author":[{"dropping-particle":"","family":"Deloitte","given":"","non-dropping-particle":"","parse-names":false,"suffix":""}],"id":"ITEM-1","issued":{"date-parts":[["2019"]]},"page":"41","title":"2019 Global Health Care outlook: Shaping the Future","type":"article-journal"},"uris":["http://www.mendeley.com/documents/?uuid=cb7dae61-76fd-429d-954d-17ed38d5a461"]}],"mendeley":{"formattedCitation":"(Deloitte, 2019)","plainTextFormattedCitation":"(Deloitte, 2019)","previouslyFormattedCitation":"(Deloitte, 2019)"},"properties":{"noteIndex":0},"schema":"https://github.com/citation-style-language/schema/raw/master/csl-citation.json"}</w:instrText>
      </w:r>
      <w:r>
        <w:fldChar w:fldCharType="separate"/>
      </w:r>
      <w:r w:rsidRPr="00891C98">
        <w:rPr>
          <w:noProof/>
        </w:rPr>
        <w:t>(Deloitte, 2019)</w:t>
      </w:r>
      <w:r>
        <w:fldChar w:fldCharType="end"/>
      </w:r>
      <w:r>
        <w:t xml:space="preserve">. </w:t>
      </w:r>
      <w:bookmarkStart w:id="6" w:name="_Hlk7114175"/>
      <w:r>
        <w:t xml:space="preserve">Nevertheless, global health care spending is projected to grow 5.4% over the </w:t>
      </w:r>
      <w:bookmarkStart w:id="7" w:name="_Hlk7115007"/>
      <w:r>
        <w:t xml:space="preserve">next 3 years </w:t>
      </w:r>
      <w:r>
        <w:fldChar w:fldCharType="begin" w:fldLock="1"/>
      </w:r>
      <w:r>
        <w:instrText>ADDIN CSL_CITATION {"citationItems":[{"id":"ITEM-1","itemData":{"abstract":"2016 Global health care outlook | Battling costs while improving care 1 2015 Greater Philadelphia Alumni Reception 2016 Global health care outlook Battling costs while improving care 2 Change is the new normal for the global health care sector. As providers, payers, governments, and other stakeholders strive to deliver effective, efficient, and equitable care, they do so in an ecosystem that is undergoing a dramatic and fundamental shift in business, clinical, and operating models. This shift is being fueled by aging and growing populations; the proliferation of chronic diseases; heightened focus on care quality and value; evolving financial and quality regulations; informed and empowered consumers; and innovative treatments and technologies — all of which are leading to rising costs and an increase in spending levels for care provision, infrastructure improvements, and technology innovations. The Economist Intelligence Unit (EIU) reports that health care spending in the 60 countries that it covers rose by 2.6 percent in nominal U.S. dollar terms in 2014 but that spending is forecasted to dip in 2015, reflecting the current weakness of the euro and other currencies against the U.S. dollar (USD)*. 1 On a Gross Domestic Product (GDP) and per-capita basis, the most recent figures available from the World Health Organization (WHO) show that health care spending varies greatly among developed and developing countries (Figure 1).","author":[{"dropping-particle":"","family":"Deloitte","given":"","non-dropping-particle":"","parse-names":false,"suffix":""}],"id":"ITEM-1","issued":{"date-parts":[["2019"]]},"page":"41","title":"2019 Global Health Care outlook: Shaping the Future","type":"article-journal"},"uris":["http://www.mendeley.com/documents/?uuid=cb7dae61-76fd-429d-954d-17ed38d5a461"]}],"mendeley":{"formattedCitation":"(Deloitte, 2019)","plainTextFormattedCitation":"(Deloitte, 2019)","previouslyFormattedCitation":"(Deloitte, 2019)"},"properties":{"noteIndex":0},"schema":"https://github.com/citation-style-language/schema/raw/master/csl-citation.json"}</w:instrText>
      </w:r>
      <w:r>
        <w:fldChar w:fldCharType="separate"/>
      </w:r>
      <w:r w:rsidRPr="004F1549">
        <w:rPr>
          <w:noProof/>
        </w:rPr>
        <w:t>(Deloitte, 2019)</w:t>
      </w:r>
      <w:r>
        <w:fldChar w:fldCharType="end"/>
      </w:r>
      <w:r>
        <w:t>.</w:t>
      </w:r>
      <w:bookmarkEnd w:id="6"/>
    </w:p>
    <w:bookmarkEnd w:id="7"/>
    <w:p w14:paraId="521B426A" w14:textId="7833754D" w:rsidR="00C03F1B" w:rsidRDefault="00C03239" w:rsidP="00C03239">
      <w:pPr>
        <w:pStyle w:val="SectionTitle"/>
      </w:pPr>
      <w:r>
        <w:lastRenderedPageBreak/>
        <w:t>Product Description</w:t>
      </w:r>
    </w:p>
    <w:p w14:paraId="31AC786B" w14:textId="3EFB1773" w:rsidR="00C03239" w:rsidRDefault="00C03239" w:rsidP="00C03239">
      <w:bookmarkStart w:id="8" w:name="_Hlk7115201"/>
      <w:r>
        <w:t>United States ranks amongst the 27</w:t>
      </w:r>
      <w:r w:rsidRPr="004C4EA0">
        <w:rPr>
          <w:vertAlign w:val="superscript"/>
        </w:rPr>
        <w:t>th</w:t>
      </w:r>
      <w:r>
        <w:t xml:space="preserve"> place amongst industrialized nations for infant mortality with higher incidence on southern states </w:t>
      </w:r>
      <w:r>
        <w:fldChar w:fldCharType="begin" w:fldLock="1"/>
      </w:r>
      <w:r>
        <w:instrText>ADDIN CSL_CITATION {"citationItems":[{"id":"ITEM-1","itemData":{"DOI":"10.1016/j.amepre.2013.12.006","ISSN":"07493797","abstract":"Background Infant mortality rates (IMRs) are disproportionally high in the U.S. South; however, the proximate contributors that could inform regional action remain unclear. Purpose To quantify the components of excess infant mortality in the U.S. South by maternal race/ethnicity, underlying cause of death, and gestational age. Methods U.S. Period Linked Birth/Infant Death Data Files 2007-2009 (analyzed in 2013) were used to compare IMRs between the South (U.S. Public Health Regions IV and VI) and all other regions combined. Results Compared to other regions, there were 1.18 excess infant deaths per 1000 live births in the South, representing about 1600 excess infant deaths annually. New Mexico and Texas did not have elevated IMRs relative to other regions; excess death rates among other states ranged from 0.62 per 1000 in Kentucky to 3.82 per 1000 in Mississippi. Racial/ethnic compositional differences, generally the greater proportion of non-Hispanic black births in the South, explained 59% of the overall regional difference; the remainder was mostly explained by higher IMRs among non-Hispanic whites. The leading causes of excess Southern infant mortality were sudden unexpected infant death (SUID; 36%, range=12% in Florida to 90% in Kentucky) and preterm-related death (22%, range= -71% in Kentucky to 51% in North Carolina). Higher rates of preterm birth, predominantly &lt;34 weeks, accounted for most of the preterm contribution. Conclusions To reduce excess Southern infant mortality, comprehensive strategies addressing SUID and preterm birth prevention for both non-Hispanic black and white births are needed, with state-level findings used to tailor state-specific efforts. © Published by American Journal of Preventive Medicine.","author":[{"dropping-particle":"","family":"Hirai","given":"Ashley H.","non-dropping-particle":"","parse-names":false,"suffix":""},{"dropping-particle":"","family":"Sappenfield","given":"William M.","non-dropping-particle":"","parse-names":false,"suffix":""},{"dropping-particle":"","family":"Kogan","given":"Michael D.","non-dropping-particle":"","parse-names":false,"suffix":""},{"dropping-particle":"","family":"Barfield","given":"Wanda D.","non-dropping-particle":"","parse-names":false,"suffix":""},{"dropping-particle":"","family":"Goodman","given":"David A.","non-dropping-particle":"","parse-names":false,"suffix":""},{"dropping-particle":"","family":"Ghandour","given":"Reem M.","non-dropping-particle":"","parse-names":false,"suffix":""},{"dropping-particle":"","family":"Lu","given":"Michael C.","non-dropping-particle":"","parse-names":false,"suffix":""}],"container-title":"American Journal of Preventive Medicine","id":"ITEM-1","issue":"3","issued":{"date-parts":[["2014"]]},"page":"219-227","title":"Contributors to excess infant mortality in the U.S. South","type":"article-journal","volume":"46"},"uris":["http://www.mendeley.com/documents/?uuid=0ade3c3c-5a42-45fe-bb82-430257b55dc4"]}],"mendeley":{"formattedCitation":"(Hirai et al., 2014)","plainTextFormattedCitation":"(Hirai et al., 2014)","previouslyFormattedCitation":"(Hirai et al., 2014)"},"properties":{"noteIndex":0},"schema":"https://github.com/citation-style-language/schema/raw/master/csl-citation.json"}</w:instrText>
      </w:r>
      <w:r>
        <w:fldChar w:fldCharType="separate"/>
      </w:r>
      <w:r w:rsidRPr="007F0D96">
        <w:rPr>
          <w:noProof/>
        </w:rPr>
        <w:t>(Hirai et al., 2014)</w:t>
      </w:r>
      <w:r>
        <w:fldChar w:fldCharType="end"/>
      </w:r>
      <w:r>
        <w:t xml:space="preserve">.  Moreover, infant mortality is one indicator that evidences disparities in race, socio-economic status and geography </w:t>
      </w:r>
      <w:r>
        <w:fldChar w:fldCharType="begin" w:fldLock="1"/>
      </w:r>
      <w:r>
        <w:instrText>ADDIN CSL_CITATION {"citationItems":[{"id":"ITEM-1","itemData":{"DOI":"10.1016/j.amepre.2013.12.006","ISSN":"07493797","abstract":"Background Infant mortality rates (IMRs) are disproportionally high in the U.S. South; however, the proximate contributors that could inform regional action remain unclear. Purpose To quantify the components of excess infant mortality in the U.S. South by maternal race/ethnicity, underlying cause of death, and gestational age. Methods U.S. Period Linked Birth/Infant Death Data Files 2007-2009 (analyzed in 2013) were used to compare IMRs between the South (U.S. Public Health Regions IV and VI) and all other regions combined. Results Compared to other regions, there were 1.18 excess infant deaths per 1000 live births in the South, representing about 1600 excess infant deaths annually. New Mexico and Texas did not have elevated IMRs relative to other regions; excess death rates among other states ranged from 0.62 per 1000 in Kentucky to 3.82 per 1000 in Mississippi. Racial/ethnic compositional differences, generally the greater proportion of non-Hispanic black births in the South, explained 59% of the overall regional difference; the remainder was mostly explained by higher IMRs among non-Hispanic whites. The leading causes of excess Southern infant mortality were sudden unexpected infant death (SUID; 36%, range=12% in Florida to 90% in Kentucky) and preterm-related death (22%, range= -71% in Kentucky to 51% in North Carolina). Higher rates of preterm birth, predominantly &lt;34 weeks, accounted for most of the preterm contribution. Conclusions To reduce excess Southern infant mortality, comprehensive strategies addressing SUID and preterm birth prevention for both non-Hispanic black and white births are needed, with state-level findings used to tailor state-specific efforts. © Published by American Journal of Preventive Medicine.","author":[{"dropping-particle":"","family":"Hirai","given":"Ashley H.","non-dropping-particle":"","parse-names":false,"suffix":""},{"dropping-particle":"","family":"Sappenfield","given":"William M.","non-dropping-particle":"","parse-names":false,"suffix":""},{"dropping-particle":"","family":"Kogan","given":"Michael D.","non-dropping-particle":"","parse-names":false,"suffix":""},{"dropping-particle":"","family":"Barfield","given":"Wanda D.","non-dropping-particle":"","parse-names":false,"suffix":""},{"dropping-particle":"","family":"Goodman","given":"David A.","non-dropping-particle":"","parse-names":false,"suffix":""},{"dropping-particle":"","family":"Ghandour","given":"Reem M.","non-dropping-particle":"","parse-names":false,"suffix":""},{"dropping-particle":"","family":"Lu","given":"Michael C.","non-dropping-particle":"","parse-names":false,"suffix":""}],"container-title":"American Journal of Preventive Medicine","id":"ITEM-1","issue":"3","issued":{"date-parts":[["2014"]]},"page":"219-227","title":"Contributors to excess infant mortality in the U.S. South","type":"article-journal","volume":"46"},"uris":["http://www.mendeley.com/documents/?uuid=0ade3c3c-5a42-45fe-bb82-430257b55dc4"]}],"mendeley":{"formattedCitation":"(Hirai et al., 2014)","plainTextFormattedCitation":"(Hirai et al., 2014)","previouslyFormattedCitation":"(Hirai et al., 2014)"},"properties":{"noteIndex":0},"schema":"https://github.com/citation-style-language/schema/raw/master/csl-citation.json"}</w:instrText>
      </w:r>
      <w:r>
        <w:fldChar w:fldCharType="separate"/>
      </w:r>
      <w:r w:rsidRPr="007F0D96">
        <w:rPr>
          <w:noProof/>
        </w:rPr>
        <w:t>(Hirai et al., 2014)</w:t>
      </w:r>
      <w:r>
        <w:fldChar w:fldCharType="end"/>
      </w:r>
      <w:r>
        <w:t xml:space="preserve">.  Therefore, infant mortality rate has been acknowledged as a reliable indicator for the characterization of health status of a community </w:t>
      </w:r>
      <w:r>
        <w:fldChar w:fldCharType="begin" w:fldLock="1"/>
      </w:r>
      <w:r w:rsidR="007B31F0">
        <w:instrText>ADDIN CSL_CITATION {"citationItems":[{"id":"ITEM-1","itemData":{"author":[{"dropping-particle":"","family":"United States-Mexico Border Health Commission","given":"","non-dropping-particle":"","parse-names":false,"suffix":""}],"id":"ITEM-1","issued":{"date-parts":[["2015"]]},"title":"Healthy border 2020: A","type":"article-journal"},"uris":["http://www.mendeley.com/documents/?uuid=88d7ed6b-0f9e-4873-9452-950cd329fc42"]}],"mendeley":{"formattedCitation":"(United States-Mexico Border Health Commission, 2015)","plainTextFormattedCitation":"(United States-Mexico Border Health Commission, 2015)","previouslyFormattedCitation":"(United States-Mexico Border Health Commission, 2015)"},"properties":{"noteIndex":0},"schema":"https://github.com/citation-style-language/schema/raw/master/csl-citation.json"}</w:instrText>
      </w:r>
      <w:r>
        <w:fldChar w:fldCharType="separate"/>
      </w:r>
      <w:r w:rsidRPr="004C4EA0">
        <w:rPr>
          <w:noProof/>
        </w:rPr>
        <w:t>(United States-Mexico Border Health Commission, 2015)</w:t>
      </w:r>
      <w:r>
        <w:fldChar w:fldCharType="end"/>
      </w:r>
      <w:r>
        <w:t xml:space="preserve"> and has been identified a sentinel metric </w:t>
      </w:r>
      <w:r>
        <w:fldChar w:fldCharType="begin" w:fldLock="1"/>
      </w:r>
      <w:r>
        <w:instrText>ADDIN CSL_CITATION {"citationItems":[{"id":"ITEM-1","itemData":{"DOI":"10.1016/j.amepre.2013.12.006","ISSN":"07493797","abstract":"Background Infant mortality rates (IMRs) are disproportionally high in the U.S. South; however, the proximate contributors that could inform regional action remain unclear. Purpose To quantify the components of excess infant mortality in the U.S. South by maternal race/ethnicity, underlying cause of death, and gestational age. Methods U.S. Period Linked Birth/Infant Death Data Files 2007-2009 (analyzed in 2013) were used to compare IMRs between the South (U.S. Public Health Regions IV and VI) and all other regions combined. Results Compared to other regions, there were 1.18 excess infant deaths per 1000 live births in the South, representing about 1600 excess infant deaths annually. New Mexico and Texas did not have elevated IMRs relative to other regions; excess death rates among other states ranged from 0.62 per 1000 in Kentucky to 3.82 per 1000 in Mississippi. Racial/ethnic compositional differences, generally the greater proportion of non-Hispanic black births in the South, explained 59% of the overall regional difference; the remainder was mostly explained by higher IMRs among non-Hispanic whites. The leading causes of excess Southern infant mortality were sudden unexpected infant death (SUID; 36%, range=12% in Florida to 90% in Kentucky) and preterm-related death (22%, range= -71% in Kentucky to 51% in North Carolina). Higher rates of preterm birth, predominantly &lt;34 weeks, accounted for most of the preterm contribution. Conclusions To reduce excess Southern infant mortality, comprehensive strategies addressing SUID and preterm birth prevention for both non-Hispanic black and white births are needed, with state-level findings used to tailor state-specific efforts. © Published by American Journal of Preventive Medicine.","author":[{"dropping-particle":"","family":"Hirai","given":"Ashley H.","non-dropping-particle":"","parse-names":false,"suffix":""},{"dropping-particle":"","family":"Sappenfield","given":"William M.","non-dropping-particle":"","parse-names":false,"suffix":""},{"dropping-particle":"","family":"Kogan","given":"Michael D.","non-dropping-particle":"","parse-names":false,"suffix":""},{"dropping-particle":"","family":"Barfield","given":"Wanda D.","non-dropping-particle":"","parse-names":false,"suffix":""},{"dropping-particle":"","family":"Goodman","given":"David A.","non-dropping-particle":"","parse-names":false,"suffix":""},{"dropping-particle":"","family":"Ghandour","given":"Reem M.","non-dropping-particle":"","parse-names":false,"suffix":""},{"dropping-particle":"","family":"Lu","given":"Michael C.","non-dropping-particle":"","parse-names":false,"suffix":""}],"container-title":"American Journal of Preventive Medicine","id":"ITEM-1","issue":"3","issued":{"date-parts":[["2014"]]},"page":"219-227","title":"Contributors to excess infant mortality in the U.S. South","type":"article-journal","volume":"46"},"uris":["http://www.mendeley.com/documents/?uuid=0ade3c3c-5a42-45fe-bb82-430257b55dc4"]},{"id":"ITEM-2","itemData":{"DOI":"10.1007/s10995-014-1554-4","ISBN":"1099501415","ISSN":"15736628","PMID":"25138628","abstract":"The evidence is limited on the effectiveness of home visiting care coordination in addressing poor birth outcome, including low birth weight (LBW). The Community Health Access Project (CHAP) utilizes community health workers (CHWs) to identify women at risk of having poor birth outcomes, connect them to health and social services, and track each identified health or social issue to a measurable completion. CHWs are trained individuals from the same highest risk communities. The CHAP Pathways Model is used to track each maternal health and social service need to resolution and CHWs are paid based upon outcomes. We evaluated the impact of the CHAP Pathways program on LBW in an urban Ohio community. Women participating in CHAP and having a live birth in 2001 through 2004 constituted the intervention group. Using birth certificate records, each CHAP birth was matched through propensity score to a control birth from the same census tract and year. Logistic regression was used to examine the association of CHAP participation with LBW while controlling for risk factors for LBW. We identified 115 CHAP clients and 115 control births. Among the intervention group there were seven LBW births (6.1 %) compared with 15 (13.0 %) among non-CHAP clients. The adjusted odds ratio for LBW was 0.35 (95 % confidence interval, 0.12-0.96) among CHAP clients. This study provides evidence that structured community care coordination coupled with tracking and payment for outcomes may reduce LBW birth among high-risk women.","author":[{"dropping-particle":"","family":"Redding","given":"Sarah","non-dropping-particle":"","parse-names":false,"suffix":""},{"dropping-particle":"","family":"Conrey","given":"Elizabeth","non-dropping-particle":"","parse-names":false,"suffix":""},{"dropping-particle":"","family":"Porter","given":"Kyle","non-dropping-particle":"","parse-names":false,"suffix":""},{"dropping-particle":"","family":"Paulson","given":"John","non-dropping-particle":"","parse-names":false,"suffix":""},{"dropping-particle":"","family":"Hughes","given":"Karen","non-dropping-particle":"","parse-names":false,"suffix":""},{"dropping-particle":"","family":"Redding","given":"Mark","non-dropping-particle":"","parse-names":false,"suffix":""}],"container-title":"Maternal and Child Health Journal","id":"ITEM-2","issue":"3","issued":{"date-parts":[["2015"]]},"page":"643-650","title":"Pathways Community Care Coordination in Low Birth Weight Prevention","type":"article-journal","volume":"19"},"uris":["http://www.mendeley.com/documents/?uuid=926c524c-e8f3-49f0-abeb-5f71867395ef"]}],"mendeley":{"formattedCitation":"(Hirai et al., 2014; Redding et al., 2015)","plainTextFormattedCitation":"(Hirai et al., 2014; Redding et al., 2015)","previouslyFormattedCitation":"(Hirai et al., 2014; Redding et al., 2015)"},"properties":{"noteIndex":0},"schema":"https://github.com/citation-style-language/schema/raw/master/csl-citation.json"}</w:instrText>
      </w:r>
      <w:r>
        <w:fldChar w:fldCharType="separate"/>
      </w:r>
      <w:r w:rsidRPr="004C4EA0">
        <w:rPr>
          <w:noProof/>
        </w:rPr>
        <w:t>(Hirai et al., 2014; Redding et al., 2015)</w:t>
      </w:r>
      <w:r>
        <w:fldChar w:fldCharType="end"/>
      </w:r>
      <w:r>
        <w:t xml:space="preserve">.  It has been found that infant mortality is closely related to low birth weight on all ethnicities </w:t>
      </w:r>
      <w:r>
        <w:fldChar w:fldCharType="begin" w:fldLock="1"/>
      </w:r>
      <w:r w:rsidR="007B31F0">
        <w:instrText>ADDIN CSL_CITATION {"citationItems":[{"id":"ITEM-1","itemData":{"DOI":"10.1038/s41598-019-38583-x","ISSN":"20452322","author":[{"dropping-particle":"","family":"Park","given":"Min Soo","non-dropping-particle":"","parse-names":false,"suffix":""},{"dropping-particle":"","family":"Sriram","given":"Sudhir","non-dropping-particle":"","parse-names":false,"suffix":""},{"dropping-particle":"","family":"Park","given":"Chang-Gi","non-dropping-particle":"","parse-names":false,"suffix":""},{"dropping-particle":"","family":"Lee","given":"Kwang-Sun","non-dropping-particle":"","parse-names":false,"suffix":""},{"dropping-particle":"","family":"Kim","given":"Do-Hyun","non-dropping-particle":"","parse-names":false,"suffix":""},{"dropping-particle":"","family":"Jeon","given":"Jihyun","non-dropping-particle":"","parse-names":false,"suffix":""}],"container-title":"Scientific Reports","id":"ITEM-1","issue":"1","issued":{"date-parts":[["2019"]]},"page":"1-5","title":"Optimal birth weight and term mortality risk differ among different ethnic groups in the U.S.","type":"article-journal","volume":"9"},"uris":["http://www.mendeley.com/documents/?uuid=f0172130-62e6-4118-b60a-1f0c13f1f951"]},{"id":"ITEM-2","itemData":{"DOI":"10.1016/j.ajog.2017.05.040","ISBN":"9780128011058","ISSN":"10976868","PMID":"24655651","abstract":"Prenatal care providers are advised to evaluate maternal weight at each regularly scheduled prenatal visit, monitor progress toward meeting weight gain goals, and provide individualized counseling if significant deviations from a woman's goals occur. Today, nearly 50% of women exceed their weight gain goals with overweight and obese women having the highest prevalence of excessive weight gain. Risks of inadequate weight gain include low birthweight and failure to initiate breast-feeding whereas the risks of excessive weight gain include cesarean deliveries and postpartum weight retention for the mother and large-for-gestational-age infants, macrosomia, and childhood overweight or obesity for the offspring. Prenatal care providers have many resources and tools to incorporate weight and other health behavior counseling into routine prenatal practices. Because many women are motivated to improve health behaviors, pregnancy is often considered the optimal time to intervene for issues related to eating habits and physical activity to prevent excessive weight gain. Gestational weight gain is a potentially modifiable risk factor for a number of adverse maternal and neonatal outcomes and meta-analyses of randomized controlled trials report that diet or exercise interventions during pregnancy can help reduce excessive weight gain. However, health behavior interventions for gestational weight gain have not significantly improved other maternal and neonatal outcomes and have limited effectiveness in overweight and obese women.","author":[{"dropping-particle":"","family":"Kominiarek","given":"Michelle A.","non-dropping-particle":"","parse-names":false,"suffix":""},{"dropping-particle":"","family":"Peaceman","given":"Alan M.","non-dropping-particle":"","parse-names":false,"suffix":""}],"container-title":"American Journal of Obstetrics and Gynecology","id":"ITEM-2","issue":"6","issued":{"date-parts":[["2017"]]},"page":"642-651","title":"Gestational weight gain","type":"article-journal","volume":"217"},"uris":["http://www.mendeley.com/documents/?uuid=b4a25820-6b51-45d7-8022-d8b62b3887d6"]}],"mendeley":{"formattedCitation":"(Kominiarek &amp; Peaceman, 2017; Park et al., 2019)","plainTextFormattedCitation":"(Kominiarek &amp; Peaceman, 2017; Park et al., 2019)","previouslyFormattedCitation":"(Kominiarek &amp; Peaceman, 2017; Park et al., 2019)"},"properties":{"noteIndex":0},"schema":"https://github.com/citation-style-language/schema/raw/master/csl-citation.json"}</w:instrText>
      </w:r>
      <w:r>
        <w:fldChar w:fldCharType="separate"/>
      </w:r>
      <w:r w:rsidRPr="00140201">
        <w:rPr>
          <w:noProof/>
        </w:rPr>
        <w:t>(Kominiarek &amp; Peaceman, 2017; Park et al., 2019)</w:t>
      </w:r>
      <w:r>
        <w:fldChar w:fldCharType="end"/>
      </w:r>
      <w:r>
        <w:t xml:space="preserve">.  And, on the case of surviving infants, low birth weight have been linked to higher incidence of developmental disabilities </w:t>
      </w:r>
      <w:r>
        <w:fldChar w:fldCharType="begin" w:fldLock="1"/>
      </w:r>
      <w:r>
        <w:instrText>ADDIN CSL_CITATION {"citationItems":[{"id":"ITEM-1","itemData":{"DOI":"10.1016/j.annepidem.2016.02.012","ISBN":"0000000000","ISSN":"10472797","PMID":"28299348","author":[{"dropping-particle":"","family":"Schieve","given":"Laura A.","non-dropping-particle":"","parse-names":false,"suffix":""},{"dropping-particle":"","family":"Tian","given":"Lin H.","non-dropping-particle":"","parse-names":false,"suffix":""},{"dropping-particle":"","family":"Rankin","given":"Kristin","non-dropping-particle":"","parse-names":false,"suffix":""},{"dropping-particle":"","family":"Kogan","given":"Michael D.","non-dropping-particle":"","parse-names":false,"suffix":""},{"dropping-particle":"","family":"Yeargin-Allsopp","given":"Marshalyn","non-dropping-particle":"","parse-names":false,"suffix":""},{"dropping-particle":"","family":"Visser","given":"Susanna","non-dropping-particle":"","parse-names":false,"suffix":""},{"dropping-particle":"","family":"Rosenberg","given":"Deborah","non-dropping-particle":"","parse-names":false,"suffix":""}],"container-title":"Annals of Epidemiology","id":"ITEM-1","issue":"4","issued":{"date-parts":[["2016","4"]]},"page":"267-274","title":"Population impact of preterm birth and low birth weight on developmental disabilities in US children","type":"article-journal","volume":"26"},"uris":["http://www.mendeley.com/documents/?uuid=1d2a754a-04f0-4abb-a7fc-2583d72e56ba"]}],"mendeley":{"formattedCitation":"(Schieve et al., 2016)","plainTextFormattedCitation":"(Schieve et al., 2016)","previouslyFormattedCitation":"(Schieve et al., 2016)"},"properties":{"noteIndex":0},"schema":"https://github.com/citation-style-language/schema/raw/master/csl-citation.json"}</w:instrText>
      </w:r>
      <w:r>
        <w:fldChar w:fldCharType="separate"/>
      </w:r>
      <w:r w:rsidRPr="00950442">
        <w:rPr>
          <w:noProof/>
        </w:rPr>
        <w:t>(Schieve et al., 2016)</w:t>
      </w:r>
      <w:r>
        <w:fldChar w:fldCharType="end"/>
      </w:r>
      <w:r>
        <w:t>.</w:t>
      </w:r>
    </w:p>
    <w:bookmarkStart w:id="9" w:name="_Hlk7115293"/>
    <w:bookmarkEnd w:id="8"/>
    <w:p w14:paraId="40946654" w14:textId="7916BF47" w:rsidR="00C03239" w:rsidRDefault="00C03239" w:rsidP="00C03239">
      <w:r>
        <w:fldChar w:fldCharType="begin" w:fldLock="1"/>
      </w:r>
      <w:r w:rsidR="007B31F0">
        <w:instrText>ADDIN CSL_CITATION {"citationItems":[{"id":"ITEM-1","itemData":{"DOI":"10.1016/j.amepre.2013.12.006","ISSN":"07493797","abstract":"Background Infant mortality rates (IMRs) are disproportionally high in the U.S. South; however, the proximate contributors that could inform regional action remain unclear. Purpose To quantify the components of excess infant mortality in the U.S. South by maternal race/ethnicity, underlying cause of death, and gestational age. Methods U.S. Period Linked Birth/Infant Death Data Files 2007-2009 (analyzed in 2013) were used to compare IMRs between the South (U.S. Public Health Regions IV and VI) and all other regions combined. Results Compared to other regions, there were 1.18 excess infant deaths per 1000 live births in the South, representing about 1600 excess infant deaths annually. New Mexico and Texas did not have elevated IMRs relative to other regions; excess death rates among other states ranged from 0.62 per 1000 in Kentucky to 3.82 per 1000 in Mississippi. Racial/ethnic compositional differences, generally the greater proportion of non-Hispanic black births in the South, explained 59% of the overall regional difference; the remainder was mostly explained by higher IMRs among non-Hispanic whites. The leading causes of excess Southern infant mortality were sudden unexpected infant death (SUID; 36%, range=12% in Florida to 90% in Kentucky) and preterm-related death (22%, range= -71% in Kentucky to 51% in North Carolina). Higher rates of preterm birth, predominantly &lt;34 weeks, accounted for most of the preterm contribution. Conclusions To reduce excess Southern infant mortality, comprehensive strategies addressing SUID and preterm birth prevention for both non-Hispanic black and white births are needed, with state-level findings used to tailor state-specific efforts. © Published by American Journal of Preventive Medicine.","author":[{"dropping-particle":"","family":"Hirai","given":"Ashley H.","non-dropping-particle":"","parse-names":false,"suffix":""},{"dropping-particle":"","family":"Sappenfield","given":"William M.","non-dropping-particle":"","parse-names":false,"suffix":""},{"dropping-particle":"","family":"Kogan","given":"Michael D.","non-dropping-particle":"","parse-names":false,"suffix":""},{"dropping-particle":"","family":"Barfield","given":"Wanda D.","non-dropping-particle":"","parse-names":false,"suffix":""},{"dropping-particle":"","family":"Goodman","given":"David A.","non-dropping-particle":"","parse-names":false,"suffix":""},{"dropping-particle":"","family":"Ghandour","given":"Reem M.","non-dropping-particle":"","parse-names":false,"suffix":""},{"dropping-particle":"","family":"Lu","given":"Michael C.","non-dropping-particle":"","parse-names":false,"suffix":""}],"container-title":"American Journal of Preventive Medicine","id":"ITEM-1","issue":"3","issued":{"date-parts":[["2014"]]},"page":"219-227","title":"Contributors to excess infant mortality in the U.S. South","type":"article-journal","volume":"46"},"uris":["http://www.mendeley.com/documents/?uuid=0ade3c3c-5a42-45fe-bb82-430257b55dc4"]}],"mendeley":{"formattedCitation":"(Hirai et al., 2014)","manualFormatting":"Hirai et al. (2014)","plainTextFormattedCitation":"(Hirai et al., 2014)","previouslyFormattedCitation":"(Hirai et al., 2014)"},"properties":{"noteIndex":0},"schema":"https://github.com/citation-style-language/schema/raw/master/csl-citation.json"}</w:instrText>
      </w:r>
      <w:r>
        <w:fldChar w:fldCharType="separate"/>
      </w:r>
      <w:r w:rsidRPr="00950442">
        <w:rPr>
          <w:noProof/>
        </w:rPr>
        <w:t>Hirai et al.</w:t>
      </w:r>
      <w:r>
        <w:rPr>
          <w:noProof/>
        </w:rPr>
        <w:t xml:space="preserve"> (</w:t>
      </w:r>
      <w:r w:rsidRPr="00950442">
        <w:rPr>
          <w:noProof/>
        </w:rPr>
        <w:t>2014)</w:t>
      </w:r>
      <w:r>
        <w:fldChar w:fldCharType="end"/>
      </w:r>
      <w:r>
        <w:t xml:space="preserve"> highlight the importance of implementing data-driven strategies that will reduce the incidence of low-birth weight and infant mortality.  Strategies can be as simple </w:t>
      </w:r>
      <w:bookmarkEnd w:id="9"/>
      <w:r>
        <w:t xml:space="preserve">and impactful as the recommendation for </w:t>
      </w:r>
      <w:r w:rsidRPr="004318AF">
        <w:rPr>
          <w:i/>
        </w:rPr>
        <w:t>supine sleep</w:t>
      </w:r>
      <w:r>
        <w:t xml:space="preserve"> issued by the  American Academy of Pediatrics </w:t>
      </w:r>
      <w:r>
        <w:fldChar w:fldCharType="begin" w:fldLock="1"/>
      </w:r>
      <w:r>
        <w:instrText>ADDIN CSL_CITATION {"citationItems":[{"id":"ITEM-1","itemData":{"DOI":"10.1542/peds.2016-3334","ISSN":"0031-4005","PMID":"28759397","abstract":"BACKGROUND AND OBJECTIVES Prematurity, a strong risk factor for sudden unexpected infant death (SUID), was addressed in recommendations by the American Academy of Pediatrics in 2011 for safe sleep education in NICUs. We documented associations between gestational age (GA) and SUID subsequent to these guidelines. METHODS Using the 2012-2013 US linked infant birth and death certificate period files, we documented rates per live births of sudden infant death syndrome, ill-defined and unspecified causes, accidental suffocation and strangulation in bed, and overall SUID by GA in postneonatal, out-of-hospital, and autopsied cases; compared survivors and cases; and estimated logistic regression models of associations between GA and SUID. RESULTS SUID cases were more likely than survivors to be &lt;37 weeks' GA (22.61% vs 10.79%; P &lt; .0001). SUID rates were 2.68, 1.94, 1.46, 1.16, 0.73, and 0.51 per 1000 live births for 24 to 27, 28 to 31, 32 to 33, 34 to 36, 37 to 38, and 39 to 42 weeks' GA, respectively. Logistic regression models additionally indicated declines in the risk for SUID as GA increased. Prenatal smoking, inadequate prenatal care, and demographics associated with poverty were strongly associated with SUID. CONCLUSIONS Despite the 2011 American Academy of Pediatrics recommendations for increased safe sleep education in the NICUs, SUID rates were inversely associated with GA in 2012 to 2013, suggesting that risk of SUID associated with prematurity has multiple etiologies requiring continued investigation, including biological vulnerabilities and the efficacy of NICU education programs, and that strategies to reduce SUID should be multifaceted.","author":[{"dropping-particle":"","family":"Hegyi","given":"Thomas","non-dropping-particle":"","parse-names":false,"suffix":""},{"dropping-particle":"","family":"Teitler","given":"Julien O.","non-dropping-particle":"","parse-names":false,"suffix":""},{"dropping-particle":"","family":"Reichman","given":"Nancy E.","non-dropping-particle":"","parse-names":false,"suffix":""},{"dropping-particle":"","family":"Ostfeld","given":"Barbara M.","non-dropping-particle":"","parse-names":false,"suffix":""},{"dropping-particle":"","family":"Schwartz-Soicher","given":"Ofira","non-dropping-particle":"","parse-names":false,"suffix":""}],"container-title":"Pediatrics","id":"ITEM-1","issue":"1","issued":{"date-parts":[["2017"]]},"page":"e20163334","title":"Prematurity and Sudden Unexpected Infant Deaths in the United States","type":"article-journal","volume":"140"},"uris":["http://www.mendeley.com/documents/?uuid=6e2953e9-ea45-4e2f-bd7c-c76c4aa5c3b3"]}],"mendeley":{"formattedCitation":"(Hegyi, Teitler, Reichman, Ostfeld, &amp; Schwartz-Soicher, 2017)","plainTextFormattedCitation":"(Hegyi, Teitler, Reichman, Ostfeld, &amp; Schwartz-Soicher, 2017)","previouslyFormattedCitation":"(Hegyi, Teitler, Reichman, Ostfeld, &amp; Schwartz-Soicher, 2017)"},"properties":{"noteIndex":0},"schema":"https://github.com/citation-style-language/schema/raw/master/csl-citation.json"}</w:instrText>
      </w:r>
      <w:r>
        <w:fldChar w:fldCharType="separate"/>
      </w:r>
      <w:r w:rsidRPr="00950442">
        <w:rPr>
          <w:noProof/>
        </w:rPr>
        <w:t>(Hegyi, Teitler, Reichman, Ostfeld, &amp; Schwartz-Soicher, 2017)</w:t>
      </w:r>
      <w:r>
        <w:fldChar w:fldCharType="end"/>
      </w:r>
      <w:r>
        <w:t xml:space="preserve">.  Moreover, these strategies should be directed at decreasing leading risk factors </w:t>
      </w:r>
      <w:r>
        <w:fldChar w:fldCharType="begin" w:fldLock="1"/>
      </w:r>
      <w:r>
        <w:instrText>ADDIN CSL_CITATION {"citationItems":[{"id":"ITEM-1","itemData":{"DOI":"10.1542/peds.2016-3334","ISSN":"0031-4005","PMID":"28759397","abstract":"BACKGROUND AND OBJECTIVES Prematurity, a strong risk factor for sudden unexpected infant death (SUID), was addressed in recommendations by the American Academy of Pediatrics in 2011 for safe sleep education in NICUs. We documented associations between gestational age (GA) and SUID subsequent to these guidelines. METHODS Using the 2012-2013 US linked infant birth and death certificate period files, we documented rates per live births of sudden infant death syndrome, ill-defined and unspecified causes, accidental suffocation and strangulation in bed, and overall SUID by GA in postneonatal, out-of-hospital, and autopsied cases; compared survivors and cases; and estimated logistic regression models of associations between GA and SUID. RESULTS SUID cases were more likely than survivors to be &lt;37 weeks' GA (22.61% vs 10.79%; P &lt; .0001). SUID rates were 2.68, 1.94, 1.46, 1.16, 0.73, and 0.51 per 1000 live births for 24 to 27, 28 to 31, 32 to 33, 34 to 36, 37 to 38, and 39 to 42 weeks' GA, respectively. Logistic regression models additionally indicated declines in the risk for SUID as GA increased. Prenatal smoking, inadequate prenatal care, and demographics associated with poverty were strongly associated with SUID. CONCLUSIONS Despite the 2011 American Academy of Pediatrics recommendations for increased safe sleep education in the NICUs, SUID rates were inversely associated with GA in 2012 to 2013, suggesting that risk of SUID associated with prematurity has multiple etiologies requiring continued investigation, including biological vulnerabilities and the efficacy of NICU education programs, and that strategies to reduce SUID should be multifaceted.","author":[{"dropping-particle":"","family":"Hegyi","given":"Thomas","non-dropping-particle":"","parse-names":false,"suffix":""},{"dropping-particle":"","family":"Teitler","given":"Julien O.","non-dropping-particle":"","parse-names":false,"suffix":""},{"dropping-particle":"","family":"Reichman","given":"Nancy E.","non-dropping-particle":"","parse-names":false,"suffix":""},{"dropping-particle":"","family":"Ostfeld","given":"Barbara M.","non-dropping-particle":"","parse-names":false,"suffix":""},{"dropping-particle":"","family":"Schwartz-Soicher","given":"Ofira","non-dropping-particle":"","parse-names":false,"suffix":""}],"container-title":"Pediatrics","id":"ITEM-1","issue":"1","issued":{"date-parts":[["2017"]]},"page":"e20163334","title":"Prematurity and Sudden Unexpected Infant Deaths in the United States","type":"article-journal","volume":"140"},"uris":["http://www.mendeley.com/documents/?uuid=6e2953e9-ea45-4e2f-bd7c-c76c4aa5c3b3"]}],"mendeley":{"formattedCitation":"(Hegyi et al., 2017)","plainTextFormattedCitation":"(Hegyi et al., 2017)","previouslyFormattedCitation":"(Hegyi et al., 2017)"},"properties":{"noteIndex":0},"schema":"https://github.com/citation-style-language/schema/raw/master/csl-citation.json"}</w:instrText>
      </w:r>
      <w:r>
        <w:fldChar w:fldCharType="separate"/>
      </w:r>
      <w:r w:rsidRPr="001046EB">
        <w:rPr>
          <w:noProof/>
        </w:rPr>
        <w:t>(Hegyi et al., 2017)</w:t>
      </w:r>
      <w:r>
        <w:fldChar w:fldCharType="end"/>
      </w:r>
      <w:r>
        <w:t xml:space="preserve"> and inadequate gestational weight gain </w:t>
      </w:r>
      <w:r>
        <w:fldChar w:fldCharType="begin" w:fldLock="1"/>
      </w:r>
      <w:r>
        <w:instrText>ADDIN CSL_CITATION {"citationItems":[{"id":"ITEM-1","itemData":{"DOI":"10.1016/j.ajog.2017.05.040","ISBN":"9780128011058","ISSN":"10976868","PMID":"24655651","abstract":"Prenatal care providers are advised to evaluate maternal weight at each regularly scheduled prenatal visit, monitor progress toward meeting weight gain goals, and provide individualized counseling if significant deviations from a woman's goals occur. Today, nearly 50% of women exceed their weight gain goals with overweight and obese women having the highest prevalence of excessive weight gain. Risks of inadequate weight gain include low birthweight and failure to initiate breast-feeding whereas the risks of excessive weight gain include cesarean deliveries and postpartum weight retention for the mother and large-for-gestational-age infants, macrosomia, and childhood overweight or obesity for the offspring. Prenatal care providers have many resources and tools to incorporate weight and other health behavior counseling into routine prenatal practices. Because many women are motivated to improve health behaviors, pregnancy is often considered the optimal time to intervene for issues related to eating habits and physical activity to prevent excessive weight gain. Gestational weight gain is a potentially modifiable risk factor for a number of adverse maternal and neonatal outcomes and meta-analyses of randomized controlled trials report that diet or exercise interventions during pregnancy can help reduce excessive weight gain. However, health behavior interventions for gestational weight gain have not significantly improved other maternal and neonatal outcomes and have limited effectiveness in overweight and obese women.","author":[{"dropping-particle":"","family":"Kominiarek","given":"Michelle A.","non-dropping-particle":"","parse-names":false,"suffix":""},{"dropping-particle":"","family":"Peaceman","given":"Alan M.","non-dropping-particle":"","parse-names":false,"suffix":""}],"container-title":"American Journal of Obstetrics and Gynecology","id":"ITEM-1","issue":"6","issued":{"date-parts":[["2017"]]},"page":"642-651","title":"Gestational weight gain","type":"article-journal","volume":"217"},"uris":["http://www.mendeley.com/documents/?uuid=b4a25820-6b51-45d7-8022-d8b62b3887d6"]}],"mendeley":{"formattedCitation":"(Kominiarek &amp; Peaceman, 2017)","plainTextFormattedCitation":"(Kominiarek &amp; Peaceman, 2017)","previouslyFormattedCitation":"(Kominiarek &amp; Peaceman, 2017)"},"properties":{"noteIndex":0},"schema":"https://github.com/citation-style-language/schema/raw/master/csl-citation.json"}</w:instrText>
      </w:r>
      <w:r>
        <w:fldChar w:fldCharType="separate"/>
      </w:r>
      <w:r w:rsidRPr="001046EB">
        <w:rPr>
          <w:noProof/>
        </w:rPr>
        <w:t>(Kominiarek &amp; Peaceman, 2017)</w:t>
      </w:r>
      <w:r>
        <w:fldChar w:fldCharType="end"/>
      </w:r>
      <w:r>
        <w:t xml:space="preserve">.  One strategy for preventing </w:t>
      </w:r>
      <w:bookmarkStart w:id="10" w:name="_Hlk7115414"/>
      <w:r>
        <w:t xml:space="preserve">low birth weight is </w:t>
      </w:r>
      <w:r w:rsidRPr="00694FD7">
        <w:rPr>
          <w:i/>
        </w:rPr>
        <w:t>home visiting service</w:t>
      </w:r>
      <w:bookmarkEnd w:id="10"/>
      <w:r>
        <w:t xml:space="preserve">.  This strategy main goal is the provision of evidence-based services and a support network </w:t>
      </w:r>
      <w:r>
        <w:fldChar w:fldCharType="begin" w:fldLock="1"/>
      </w:r>
      <w:r>
        <w:instrText>ADDIN CSL_CITATION {"citationItems":[{"id":"ITEM-1","itemData":{"DOI":"10.1007/s10995-014-1554-4","ISBN":"1099501415","ISSN":"15736628","PMID":"25138628","abstract":"The evidence is limited on the effectiveness of home visiting care coordination in addressing poor birth outcome, including low birth weight (LBW). The Community Health Access Project (CHAP) utilizes community health workers (CHWs) to identify women at risk of having poor birth outcomes, connect them to health and social services, and track each identified health or social issue to a measurable completion. CHWs are trained individuals from the same highest risk communities. The CHAP Pathways Model is used to track each maternal health and social service need to resolution and CHWs are paid based upon outcomes. We evaluated the impact of the CHAP Pathways program on LBW in an urban Ohio community. Women participating in CHAP and having a live birth in 2001 through 2004 constituted the intervention group. Using birth certificate records, each CHAP birth was matched through propensity score to a control birth from the same census tract and year. Logistic regression was used to examine the association of CHAP participation with LBW while controlling for risk factors for LBW. We identified 115 CHAP clients and 115 control births. Among the intervention group there were seven LBW births (6.1 %) compared with 15 (13.0 %) among non-CHAP clients. The adjusted odds ratio for LBW was 0.35 (95 % confidence interval, 0.12-0.96) among CHAP clients. This study provides evidence that structured community care coordination coupled with tracking and payment for outcomes may reduce LBW birth among high-risk women.","author":[{"dropping-particle":"","family":"Redding","given":"Sarah","non-dropping-particle":"","parse-names":false,"suffix":""},{"dropping-particle":"","family":"Conrey","given":"Elizabeth","non-dropping-particle":"","parse-names":false,"suffix":""},{"dropping-particle":"","family":"Porter","given":"Kyle","non-dropping-particle":"","parse-names":false,"suffix":""},{"dropping-particle":"","family":"Paulson","given":"John","non-dropping-particle":"","parse-names":false,"suffix":""},{"dropping-particle":"","family":"Hughes","given":"Karen","non-dropping-particle":"","parse-names":false,"suffix":""},{"dropping-particle":"","family":"Redding","given":"Mark","non-dropping-particle":"","parse-names":false,"suffix":""}],"container-title":"Maternal and Child Health Journal","id":"ITEM-1","issue":"3","issued":{"date-parts":[["2015"]]},"page":"643-650","title":"Pathways Community Care Coordination in Low Birth Weight Prevention","type":"article-journal","volume":"19"},"uris":["http://www.mendeley.com/documents/?uuid=926c524c-e8f3-49f0-abeb-5f71867395ef"]},{"id":"ITEM-2","itemData":{"DOI":"10.1016/j.ajog.2017.05.040","ISBN":"9780128011058","ISSN":"10976868","PMID":"24655651","abstract":"Prenatal care providers are advised to evaluate maternal weight at each regularly scheduled prenatal visit, monitor progress toward meeting weight gain goals, and provide individualized counseling if significant deviations from a woman's goals occur. Today, nearly 50% of women exceed their weight gain goals with overweight and obese women having the highest prevalence of excessive weight gain. Risks of inadequate weight gain include low birthweight and failure to initiate breast-feeding whereas the risks of excessive weight gain include cesarean deliveries and postpartum weight retention for the mother and large-for-gestational-age infants, macrosomia, and childhood overweight or obesity for the offspring. Prenatal care providers have many resources and tools to incorporate weight and other health behavior counseling into routine prenatal practices. Because many women are motivated to improve health behaviors, pregnancy is often considered the optimal time to intervene for issues related to eating habits and physical activity to prevent excessive weight gain. Gestational weight gain is a potentially modifiable risk factor for a number of adverse maternal and neonatal outcomes and meta-analyses of randomized controlled trials report that diet or exercise interventions during pregnancy can help reduce excessive weight gain. However, health behavior interventions for gestational weight gain have not significantly improved other maternal and neonatal outcomes and have limited effectiveness in overweight and obese women.","author":[{"dropping-particle":"","family":"Kominiarek","given":"Michelle A.","non-dropping-particle":"","parse-names":false,"suffix":""},{"dropping-particle":"","family":"Peaceman","given":"Alan M.","non-dropping-particle":"","parse-names":false,"suffix":""}],"container-title":"American Journal of Obstetrics and Gynecology","id":"ITEM-2","issue":"6","issued":{"date-parts":[["2017"]]},"page":"642-651","title":"Gestational weight gain","type":"article-journal","volume":"217"},"uris":["http://www.mendeley.com/documents/?uuid=b4a25820-6b51-45d7-8022-d8b62b3887d6"]}],"mendeley":{"formattedCitation":"(Kominiarek &amp; Peaceman, 2017; Redding et al., 2015)","plainTextFormattedCitation":"(Kominiarek &amp; Peaceman, 2017; Redding et al., 2015)","previouslyFormattedCitation":"(Kominiarek &amp; Peaceman, 2017; Redding et al., 2015)"},"properties":{"noteIndex":0},"schema":"https://github.com/citation-style-language/schema/raw/master/csl-citation.json"}</w:instrText>
      </w:r>
      <w:r>
        <w:fldChar w:fldCharType="separate"/>
      </w:r>
      <w:r w:rsidRPr="001046EB">
        <w:rPr>
          <w:noProof/>
        </w:rPr>
        <w:t>(Kominiarek &amp; Peaceman, 2017; Redding et al., 2015)</w:t>
      </w:r>
      <w:r>
        <w:fldChar w:fldCharType="end"/>
      </w:r>
      <w:r>
        <w:t xml:space="preserve">.  In addition, this strategy has proven its efficacy at lowering the incidence of lower birth weight infants and infant mortality </w:t>
      </w:r>
      <w:r>
        <w:fldChar w:fldCharType="begin" w:fldLock="1"/>
      </w:r>
      <w:r>
        <w:instrText>ADDIN CSL_CITATION {"citationItems":[{"id":"ITEM-1","itemData":{"DOI":"10.1007/s10995-014-1554-4","ISBN":"1099501415","ISSN":"15736628","PMID":"25138628","abstract":"The evidence is limited on the effectiveness of home visiting care coordination in addressing poor birth outcome, including low birth weight (LBW). The Community Health Access Project (CHAP) utilizes community health workers (CHWs) to identify women at risk of having poor birth outcomes, connect them to health and social services, and track each identified health or social issue to a measurable completion. CHWs are trained individuals from the same highest risk communities. The CHAP Pathways Model is used to track each maternal health and social service need to resolution and CHWs are paid based upon outcomes. We evaluated the impact of the CHAP Pathways program on LBW in an urban Ohio community. Women participating in CHAP and having a live birth in 2001 through 2004 constituted the intervention group. Using birth certificate records, each CHAP birth was matched through propensity score to a control birth from the same census tract and year. Logistic regression was used to examine the association of CHAP participation with LBW while controlling for risk factors for LBW. We identified 115 CHAP clients and 115 control births. Among the intervention group there were seven LBW births (6.1 %) compared with 15 (13.0 %) among non-CHAP clients. The adjusted odds ratio for LBW was 0.35 (95 % confidence interval, 0.12-0.96) among CHAP clients. This study provides evidence that structured community care coordination coupled with tracking and payment for outcomes may reduce LBW birth among high-risk women.","author":[{"dropping-particle":"","family":"Redding","given":"Sarah","non-dropping-particle":"","parse-names":false,"suffix":""},{"dropping-particle":"","family":"Conrey","given":"Elizabeth","non-dropping-particle":"","parse-names":false,"suffix":""},{"dropping-particle":"","family":"Porter","given":"Kyle","non-dropping-particle":"","parse-names":false,"suffix":""},{"dropping-particle":"","family":"Paulson","given":"John","non-dropping-particle":"","parse-names":false,"suffix":""},{"dropping-particle":"","family":"Hughes","given":"Karen","non-dropping-particle":"","parse-names":false,"suffix":""},{"dropping-particle":"","family":"Redding","given":"Mark","non-dropping-particle":"","parse-names":false,"suffix":""}],"container-title":"Maternal and Child Health Journal","id":"ITEM-1","issue":"3","issued":{"date-parts":[["2015"]]},"page":"643-650","title":"Pathways Community Care Coordination in Low Birth Weight Prevention","type":"article-journal","volume":"19"},"uris":["http://www.mendeley.com/documents/?uuid=926c524c-e8f3-49f0-abeb-5f71867395ef"]}],"mendeley":{"formattedCitation":"(Redding et al., 2015)","plainTextFormattedCitation":"(Redding et al., 2015)","previouslyFormattedCitation":"(Redding et al., 2015)"},"properties":{"noteIndex":0},"schema":"https://github.com/citation-style-language/schema/raw/master/csl-citation.json"}</w:instrText>
      </w:r>
      <w:r>
        <w:fldChar w:fldCharType="separate"/>
      </w:r>
      <w:r w:rsidRPr="001046EB">
        <w:rPr>
          <w:noProof/>
        </w:rPr>
        <w:t>(Redding et al., 2015)</w:t>
      </w:r>
      <w:r>
        <w:fldChar w:fldCharType="end"/>
      </w:r>
      <w:r>
        <w:t>.</w:t>
      </w:r>
    </w:p>
    <w:p w14:paraId="18268CF8" w14:textId="77777777" w:rsidR="00C03239" w:rsidRDefault="00C03239" w:rsidP="00C03239">
      <w:r>
        <w:t xml:space="preserve">In order to allow health care providers to implement a practical approach at reducing infant mortality through a home visiting service, </w:t>
      </w:r>
      <w:bookmarkStart w:id="11" w:name="_Hlk7115671"/>
      <w:r w:rsidRPr="00133C9C">
        <w:rPr>
          <w:i/>
        </w:rPr>
        <w:t>Home Visiting Service and Framework</w:t>
      </w:r>
      <w:r>
        <w:t xml:space="preserve"> </w:t>
      </w:r>
      <w:bookmarkEnd w:id="11"/>
      <w:r>
        <w:t xml:space="preserve">provides </w:t>
      </w:r>
      <w:r>
        <w:lastRenderedPageBreak/>
        <w:t xml:space="preserve">a complete platform on which health care providers can implement a data-driven approach supported by software and hardware infrastructure.  </w:t>
      </w:r>
      <w:r>
        <w:fldChar w:fldCharType="begin"/>
      </w:r>
      <w:r>
        <w:instrText xml:space="preserve"> REF _Ref4357898 \h </w:instrText>
      </w:r>
      <w:r>
        <w:fldChar w:fldCharType="separate"/>
      </w:r>
      <w:r w:rsidRPr="00C65FED">
        <w:rPr>
          <w:rStyle w:val="Emphasis"/>
        </w:rPr>
        <w:t>Figure 1</w:t>
      </w:r>
      <w:r>
        <w:fldChar w:fldCharType="end"/>
      </w:r>
      <w:r>
        <w:t xml:space="preserve"> depicts the elements that integrate this platform, which consists of 5 elements: </w:t>
      </w:r>
      <w:bookmarkStart w:id="12" w:name="_Hlk7115738"/>
      <w:r>
        <w:t>Home Visiting Service, mobile application, cloud data storage, desktop application, and practice guidelines</w:t>
      </w:r>
      <w:bookmarkEnd w:id="12"/>
      <w:r>
        <w:t xml:space="preserve">.  </w:t>
      </w:r>
      <w:r>
        <w:rPr>
          <w:i/>
        </w:rPr>
        <w:t>Home Visiting Service</w:t>
      </w:r>
      <w:r>
        <w:t xml:space="preserve"> is a service that aims to allow health care providers to approach vulnerable populations and provide evidence based recommendations.  </w:t>
      </w:r>
      <w:bookmarkStart w:id="13" w:name="_Hlk7115772"/>
      <w:r>
        <w:t>The most important feature of this service is that it avoids waste resource by identifying and targeting geographic areas that will be greatly benefited by this program</w:t>
      </w:r>
      <w:bookmarkEnd w:id="13"/>
      <w:r>
        <w:t>.  The primary intention of this service is to provide support services to pregnant women through motivational interviewing, counselling, and goal setting.</w:t>
      </w:r>
    </w:p>
    <w:p w14:paraId="19FAC184" w14:textId="77777777" w:rsidR="00C03239" w:rsidRDefault="00C03239" w:rsidP="00C03239">
      <w:r>
        <w:t xml:space="preserve">Interactions with pregnant women will generate data every time and this data will be acquired through a simple form on a </w:t>
      </w:r>
      <w:r w:rsidRPr="00C2115E">
        <w:rPr>
          <w:i/>
        </w:rPr>
        <w:t>mobile application</w:t>
      </w:r>
      <w:r>
        <w:t xml:space="preserve">.  This application will allow to securely store and upload data to a </w:t>
      </w:r>
      <w:r>
        <w:rPr>
          <w:i/>
        </w:rPr>
        <w:t>cloud data storage</w:t>
      </w:r>
      <w:r>
        <w:t xml:space="preserve">.  The </w:t>
      </w:r>
      <w:r>
        <w:rPr>
          <w:i/>
        </w:rPr>
        <w:t>cloud data storage</w:t>
      </w:r>
      <w:r>
        <w:t xml:space="preserve"> will be able to store data securely and further making it available for other applications to use.  The </w:t>
      </w:r>
      <w:r>
        <w:rPr>
          <w:i/>
        </w:rPr>
        <w:t>desktop application</w:t>
      </w:r>
      <w:r>
        <w:t xml:space="preserve"> will be able to review stored data and summarize data from patients in easy to read dashboards.  Furthermore, this </w:t>
      </w:r>
      <w:r>
        <w:rPr>
          <w:i/>
        </w:rPr>
        <w:t>desktop application</w:t>
      </w:r>
      <w:r>
        <w:t xml:space="preserve"> will be able to serve as basic </w:t>
      </w:r>
      <w:r w:rsidRPr="00D03B50">
        <w:rPr>
          <w:i/>
        </w:rPr>
        <w:t>Electronic Medical Record</w:t>
      </w:r>
      <w:r>
        <w:t>.  At the end, health care organization will be able to assess the effectiveness of the home visiting service through the review of key performance indicators.</w:t>
      </w:r>
    </w:p>
    <w:p w14:paraId="43DE9A01" w14:textId="0510A68F" w:rsidR="00C03239" w:rsidRDefault="00C03239" w:rsidP="00C03239">
      <w:r>
        <w:rPr>
          <w:i/>
        </w:rPr>
        <w:t>Home Visiting Service and Framework</w:t>
      </w:r>
      <w:r>
        <w:t xml:space="preserve"> is a cloud based product that can be accessed through any mobile device in a secure manner due to the fact that uses two-factor authentication.  The advantages over other frameworks is that this platform integrates a mobile application that helps distribute data in a secure and timely manner.</w:t>
      </w:r>
      <w:r w:rsidR="0044501B">
        <w:t xml:space="preserve">  Moreover, this platform requires little or no investment on hardware and maintenance due to the fact that it is a cloud based platform.</w:t>
      </w:r>
      <w:r>
        <w:t xml:space="preserve">  Please, refer to the Information about Competitive Analysis on: </w:t>
      </w:r>
      <w:r>
        <w:fldChar w:fldCharType="begin"/>
      </w:r>
      <w:r>
        <w:instrText xml:space="preserve"> REF _Ref4359889 \h </w:instrText>
      </w:r>
      <w:r>
        <w:fldChar w:fldCharType="separate"/>
      </w:r>
      <w:r>
        <w:t xml:space="preserve">Table </w:t>
      </w:r>
      <w:r>
        <w:rPr>
          <w:noProof/>
        </w:rPr>
        <w:t>1</w:t>
      </w:r>
      <w:r>
        <w:fldChar w:fldCharType="end"/>
      </w:r>
      <w:r>
        <w:t>.</w:t>
      </w:r>
    </w:p>
    <w:p w14:paraId="54DA07EC" w14:textId="1270E11A" w:rsidR="00853D81" w:rsidRDefault="00853D81" w:rsidP="00853D81">
      <w:pPr>
        <w:pStyle w:val="SectionTitle"/>
      </w:pPr>
      <w:r>
        <w:lastRenderedPageBreak/>
        <w:t>Organizational Analysis</w:t>
      </w:r>
    </w:p>
    <w:p w14:paraId="7B20B02F" w14:textId="77777777" w:rsidR="00392DC8" w:rsidRDefault="00392DC8" w:rsidP="00392DC8">
      <w:bookmarkStart w:id="14" w:name="_Hlk7119670"/>
      <w:r>
        <w:t xml:space="preserve">Heartland Health Costs are divided into four categories: </w:t>
      </w:r>
      <w:r w:rsidRPr="0063150B">
        <w:rPr>
          <w:i/>
        </w:rPr>
        <w:t>providers, technology, supplies</w:t>
      </w:r>
      <w:r>
        <w:t xml:space="preserve">, and </w:t>
      </w:r>
      <w:r w:rsidRPr="0063150B">
        <w:rPr>
          <w:i/>
        </w:rPr>
        <w:t>indirects</w:t>
      </w:r>
      <w:r>
        <w:t xml:space="preserve">.  The calculated </w:t>
      </w:r>
      <w:r w:rsidRPr="00304D05">
        <w:rPr>
          <w:i/>
        </w:rPr>
        <w:t>Relative Value Units</w:t>
      </w:r>
      <w:r>
        <w:t xml:space="preserve"> (RVUs) for these categories help to understand the resource consumption on them.  Most of the resource consumption for Heartland Health is related to the time </w:t>
      </w:r>
      <w:r w:rsidRPr="0063150B">
        <w:rPr>
          <w:i/>
        </w:rPr>
        <w:t>providers</w:t>
      </w:r>
      <w:r>
        <w:t xml:space="preserve"> spent on a 15 minute visit</w:t>
      </w:r>
      <w:bookmarkEnd w:id="14"/>
      <w:r>
        <w:t xml:space="preserve">.  Following the time of the </w:t>
      </w:r>
      <w:r w:rsidRPr="0063150B">
        <w:rPr>
          <w:i/>
        </w:rPr>
        <w:t>providers</w:t>
      </w:r>
      <w:r>
        <w:t xml:space="preserve">, the second most used resource are related to </w:t>
      </w:r>
      <w:r w:rsidRPr="0063150B">
        <w:rPr>
          <w:i/>
        </w:rPr>
        <w:t>indirect</w:t>
      </w:r>
      <w:r>
        <w:rPr>
          <w:i/>
        </w:rPr>
        <w:t>s</w:t>
      </w:r>
      <w:r>
        <w:t xml:space="preserve"> which include personnel (information technologist, biller, receptionists, and medical assistants) and recurrent costs such as, utilities and lease.  In third place comes the resource use of </w:t>
      </w:r>
      <w:r w:rsidRPr="0063150B">
        <w:rPr>
          <w:i/>
        </w:rPr>
        <w:t>technology</w:t>
      </w:r>
      <w:r>
        <w:t xml:space="preserve"> materials such as, EKG machines, copiers, computers, ultrasound machine, and electronic scales.  Finally, the category corresponding to supplies comes at last with the least resource consumption of these categories.  These resources are divided between two offices: Heartland South and Heartland South.</w:t>
      </w:r>
    </w:p>
    <w:p w14:paraId="3013F7E8" w14:textId="1CEEB1BD" w:rsidR="00392DC8" w:rsidRDefault="00392DC8" w:rsidP="00392DC8">
      <w:r>
        <w:t xml:space="preserve">A 15-minute medical visit costs in Heartland Health are related also to the categories mentioned above.  The category which represents a larger expense is related to the </w:t>
      </w:r>
      <w:r w:rsidRPr="0063150B">
        <w:rPr>
          <w:i/>
        </w:rPr>
        <w:t>indirects</w:t>
      </w:r>
      <w:r>
        <w:t xml:space="preserve"> that are related to the medical visit.  These </w:t>
      </w:r>
      <w:bookmarkStart w:id="15" w:name="_Hlk7119792"/>
      <w:r w:rsidRPr="0063150B">
        <w:rPr>
          <w:i/>
        </w:rPr>
        <w:t>indirects</w:t>
      </w:r>
      <w:r>
        <w:t xml:space="preserve"> costs account for $12.79 US DLLS for each 15-minute medical visit.  Following </w:t>
      </w:r>
      <w:r>
        <w:rPr>
          <w:i/>
        </w:rPr>
        <w:t>indirects</w:t>
      </w:r>
      <w:r>
        <w:t xml:space="preserve">, </w:t>
      </w:r>
      <w:r w:rsidRPr="0063150B">
        <w:rPr>
          <w:i/>
        </w:rPr>
        <w:t>providers</w:t>
      </w:r>
      <w:r>
        <w:t xml:space="preserve"> account for $24.65 dollars per 15 minute</w:t>
      </w:r>
      <w:r w:rsidR="00205786">
        <w:t xml:space="preserve"> medical visit</w:t>
      </w:r>
      <w:r>
        <w:t xml:space="preserve">.  Next to these categories, </w:t>
      </w:r>
      <w:r>
        <w:rPr>
          <w:i/>
        </w:rPr>
        <w:t xml:space="preserve">technology </w:t>
      </w:r>
      <w:r>
        <w:t xml:space="preserve"> and </w:t>
      </w:r>
      <w:r>
        <w:rPr>
          <w:i/>
        </w:rPr>
        <w:t xml:space="preserve">supplies </w:t>
      </w:r>
      <w:r>
        <w:t>account for $1</w:t>
      </w:r>
      <w:r w:rsidR="00205786">
        <w:t xml:space="preserve">.18 </w:t>
      </w:r>
      <w:r>
        <w:t>and $</w:t>
      </w:r>
      <w:r w:rsidR="00205786">
        <w:t>0.89</w:t>
      </w:r>
      <w:r>
        <w:t xml:space="preserve"> US DLLS.  In other words, the category that consumes more resources are the </w:t>
      </w:r>
      <w:r w:rsidRPr="00FC2D31">
        <w:rPr>
          <w:i/>
        </w:rPr>
        <w:t>indirects</w:t>
      </w:r>
      <w:r>
        <w:t xml:space="preserve"> and the category that consumes less resources are the </w:t>
      </w:r>
      <w:r w:rsidRPr="00FC2D31">
        <w:rPr>
          <w:i/>
        </w:rPr>
        <w:t>supplies</w:t>
      </w:r>
      <w:r>
        <w:t xml:space="preserve">.  As a conclusion, </w:t>
      </w:r>
      <w:r>
        <w:rPr>
          <w:i/>
        </w:rPr>
        <w:t>indirects</w:t>
      </w:r>
      <w:r>
        <w:t xml:space="preserve"> are generating more expense during a 15-minute visit to Heartland Health</w:t>
      </w:r>
      <w:bookmarkEnd w:id="15"/>
      <w:r>
        <w:t>.</w:t>
      </w:r>
    </w:p>
    <w:p w14:paraId="091A4A70" w14:textId="77777777" w:rsidR="00392DC8" w:rsidRDefault="00392DC8" w:rsidP="00392DC8">
      <w:bookmarkStart w:id="16" w:name="_Hlk7119993"/>
      <w:r>
        <w:t xml:space="preserve">The analysis of variance over one-month expense budget shows that all categories have a variance between a planned budget and actual budget.  The positive variance on the time of the </w:t>
      </w:r>
      <w:r w:rsidRPr="00BF5450">
        <w:rPr>
          <w:i/>
        </w:rPr>
        <w:t>providers</w:t>
      </w:r>
      <w:r>
        <w:t xml:space="preserve"> and </w:t>
      </w:r>
      <w:r w:rsidRPr="00BF5450">
        <w:rPr>
          <w:i/>
        </w:rPr>
        <w:t>indirects</w:t>
      </w:r>
      <w:r>
        <w:t xml:space="preserve"> is a reflect of less resource consumption on these categories.  On the </w:t>
      </w:r>
      <w:r>
        <w:lastRenderedPageBreak/>
        <w:t xml:space="preserve">other hand, the negative variance related to </w:t>
      </w:r>
      <w:r>
        <w:rPr>
          <w:i/>
        </w:rPr>
        <w:t xml:space="preserve">technology </w:t>
      </w:r>
      <w:r>
        <w:t xml:space="preserve">and </w:t>
      </w:r>
      <w:r>
        <w:rPr>
          <w:i/>
        </w:rPr>
        <w:t>supplies</w:t>
      </w:r>
      <w:r>
        <w:t xml:space="preserve"> reflects more resource utilization of these categories.</w:t>
      </w:r>
      <w:bookmarkEnd w:id="16"/>
      <w:r>
        <w:t xml:space="preserve">  Furthermore, On the One-Month Productivity Report, there is a negative variance in both Heartland Offices, yet, Heartland South has a higher negative variance than Heartland North.  The overall variance of the categories yields a positive variance, nevertheless, an increase in negative variance in the following months can yield a negative variance over a long term.</w:t>
      </w:r>
    </w:p>
    <w:p w14:paraId="50A66548" w14:textId="77777777" w:rsidR="00392DC8" w:rsidRPr="00E07CC9" w:rsidRDefault="00392DC8" w:rsidP="00392DC8">
      <w:r>
        <w:t xml:space="preserve">Upon the analysis of the Heartland Health One-Month Expense Budget and the Heartland Health One-Month Productivity Report, there is a negative variance on the two offices that is a reflection of the negative variance of </w:t>
      </w:r>
      <w:r>
        <w:rPr>
          <w:i/>
        </w:rPr>
        <w:t>technology</w:t>
      </w:r>
      <w:r>
        <w:t xml:space="preserve"> and </w:t>
      </w:r>
      <w:r>
        <w:rPr>
          <w:i/>
        </w:rPr>
        <w:t>supplies</w:t>
      </w:r>
      <w:r>
        <w:t xml:space="preserve">.  These negative variance shows that there is an increase in the expense or resource consumption related to the </w:t>
      </w:r>
      <w:r>
        <w:rPr>
          <w:i/>
        </w:rPr>
        <w:t>technology</w:t>
      </w:r>
      <w:r>
        <w:t xml:space="preserve"> and </w:t>
      </w:r>
      <w:r>
        <w:rPr>
          <w:i/>
        </w:rPr>
        <w:t>supplies</w:t>
      </w:r>
      <w:r>
        <w:t>.</w:t>
      </w:r>
      <w:bookmarkStart w:id="17" w:name="_Hlk7120098"/>
      <w:r>
        <w:t xml:space="preserve">  Further analysis will be needed to determine the exact causes for these increased consumption.  Nevertheless, these can be indicative of an increase in the use of </w:t>
      </w:r>
      <w:r>
        <w:rPr>
          <w:i/>
        </w:rPr>
        <w:t>technology</w:t>
      </w:r>
      <w:r>
        <w:t xml:space="preserve"> resources and </w:t>
      </w:r>
      <w:r>
        <w:rPr>
          <w:i/>
        </w:rPr>
        <w:t>supplies</w:t>
      </w:r>
      <w:r>
        <w:t xml:space="preserve"> in relation to diagnostic procedures or clinical examination.  Moreover, the greater negative variance on Heartland Health One-Month Productivity Report lead us to think that increased resource utilization is associated to this office.  Since the variance Heartland North is minimal, it seems that resource utilization is better managed on this office.  Therefore, I would recommend that Heartland South follows the best practices or procedures implemented by Heartland North in order to decrease expenses.</w:t>
      </w:r>
      <w:bookmarkEnd w:id="17"/>
    </w:p>
    <w:p w14:paraId="69280E05" w14:textId="2B33021B" w:rsidR="00C03239" w:rsidRDefault="00683DC5" w:rsidP="00683DC5">
      <w:pPr>
        <w:pStyle w:val="SectionTitle"/>
      </w:pPr>
      <w:r>
        <w:lastRenderedPageBreak/>
        <w:t>Management Overview</w:t>
      </w:r>
    </w:p>
    <w:p w14:paraId="189C1521" w14:textId="0EF8A613" w:rsidR="00683DC5" w:rsidRDefault="00683DC5" w:rsidP="00683DC5">
      <w:bookmarkStart w:id="18" w:name="_Hlk7120550"/>
      <w:r w:rsidRPr="003B188B">
        <w:rPr>
          <w:i/>
        </w:rPr>
        <w:t>Heartland Health</w:t>
      </w:r>
      <w:r>
        <w:t xml:space="preserve"> is an organization </w:t>
      </w:r>
      <w:r w:rsidR="008318DB">
        <w:t>constituted</w:t>
      </w:r>
      <w:r>
        <w:t xml:space="preserve"> of 12 team members, led by one physician leader</w:t>
      </w:r>
      <w:r w:rsidR="0034673A">
        <w:t xml:space="preserve">.  </w:t>
      </w:r>
      <w:bookmarkEnd w:id="18"/>
      <w:r w:rsidR="0034673A">
        <w:t xml:space="preserve">This organization is divided into two different locations </w:t>
      </w:r>
      <w:r w:rsidR="008318DB">
        <w:t>that</w:t>
      </w:r>
      <w:r w:rsidR="0034673A">
        <w:t xml:space="preserve"> supervised by a local team leader</w:t>
      </w:r>
      <w:r>
        <w:t>.</w:t>
      </w:r>
      <w:r w:rsidR="0034673A">
        <w:t xml:space="preserve">  </w:t>
      </w:r>
      <w:r w:rsidR="0034673A">
        <w:fldChar w:fldCharType="begin"/>
      </w:r>
      <w:r w:rsidR="0034673A">
        <w:instrText xml:space="preserve"> REF _Ref7038255 \h </w:instrText>
      </w:r>
      <w:r w:rsidR="0034673A">
        <w:fldChar w:fldCharType="separate"/>
      </w:r>
      <w:r w:rsidR="0034673A" w:rsidRPr="00D1748F">
        <w:rPr>
          <w:rStyle w:val="Emphasis"/>
        </w:rPr>
        <w:t xml:space="preserve">Figure </w:t>
      </w:r>
      <w:r w:rsidR="0034673A">
        <w:rPr>
          <w:rStyle w:val="Emphasis"/>
          <w:noProof/>
        </w:rPr>
        <w:t>3</w:t>
      </w:r>
      <w:r w:rsidR="0034673A" w:rsidRPr="00D1748F">
        <w:rPr>
          <w:rStyle w:val="Emphasis"/>
        </w:rPr>
        <w:t>. Heartland Health Leadership Organization Chart</w:t>
      </w:r>
      <w:r w:rsidR="0034673A">
        <w:fldChar w:fldCharType="end"/>
      </w:r>
      <w:r w:rsidR="0034673A">
        <w:t>, shows the distribution of team members between the two locations, the members of functional teams and  their supervisor.</w:t>
      </w:r>
      <w:r>
        <w:t xml:space="preserve">  This organization </w:t>
      </w:r>
      <w:r w:rsidR="008318DB">
        <w:t>incorporates</w:t>
      </w:r>
      <w:r>
        <w:t xml:space="preserve"> three functional teams</w:t>
      </w:r>
      <w:r w:rsidR="008318DB">
        <w:t>: front office, clinical services and health informatics.  The division of teams is portrayed i</w:t>
      </w:r>
      <w:r>
        <w:t>n</w:t>
      </w:r>
      <w:r w:rsidR="00B96CF1">
        <w:rPr>
          <w:rStyle w:val="Emphasis"/>
        </w:rPr>
        <w:t xml:space="preserve"> </w:t>
      </w:r>
      <w:r w:rsidR="00B96CF1">
        <w:rPr>
          <w:rStyle w:val="Emphasis"/>
        </w:rPr>
        <w:fldChar w:fldCharType="begin"/>
      </w:r>
      <w:r w:rsidR="00B96CF1">
        <w:rPr>
          <w:rStyle w:val="Emphasis"/>
        </w:rPr>
        <w:instrText xml:space="preserve"> REF _Ref7038222 \h </w:instrText>
      </w:r>
      <w:r w:rsidR="00B96CF1">
        <w:rPr>
          <w:rStyle w:val="Emphasis"/>
        </w:rPr>
      </w:r>
      <w:r w:rsidR="00B96CF1">
        <w:rPr>
          <w:rStyle w:val="Emphasis"/>
        </w:rPr>
        <w:fldChar w:fldCharType="separate"/>
      </w:r>
      <w:r w:rsidR="00B96CF1">
        <w:t xml:space="preserve">Figure </w:t>
      </w:r>
      <w:r w:rsidR="00B96CF1">
        <w:rPr>
          <w:noProof/>
        </w:rPr>
        <w:t>2</w:t>
      </w:r>
      <w:r w:rsidR="00B96CF1">
        <w:t xml:space="preserve">. </w:t>
      </w:r>
      <w:r w:rsidR="00B96CF1" w:rsidRPr="00A7496E">
        <w:t>Heartland Health Main Organization Chart</w:t>
      </w:r>
      <w:r w:rsidR="00B96CF1">
        <w:rPr>
          <w:rStyle w:val="Emphasis"/>
        </w:rPr>
        <w:fldChar w:fldCharType="end"/>
      </w:r>
      <w:r>
        <w:t xml:space="preserve">, there is an illustration of the three teams: </w:t>
      </w:r>
    </w:p>
    <w:p w14:paraId="47F65632" w14:textId="64347936" w:rsidR="00683DC5" w:rsidRDefault="00683DC5" w:rsidP="00683DC5">
      <w:bookmarkStart w:id="19" w:name="_Hlk7120568"/>
      <w:r>
        <w:t xml:space="preserve">The </w:t>
      </w:r>
      <w:r>
        <w:rPr>
          <w:i/>
        </w:rPr>
        <w:t>Home Visiting Service and Framework</w:t>
      </w:r>
      <w:r>
        <w:t xml:space="preserve"> is a platform that will provide </w:t>
      </w:r>
      <w:r w:rsidR="008318DB">
        <w:t xml:space="preserve">mobile </w:t>
      </w:r>
      <w:r>
        <w:t>tools</w:t>
      </w:r>
      <w:r w:rsidR="008318DB">
        <w:t xml:space="preserve"> to</w:t>
      </w:r>
      <w:r>
        <w:t xml:space="preserve"> support the provision of face-to-face services for pregnant women by Community Health Workers (CHW).</w:t>
      </w:r>
      <w:bookmarkEnd w:id="19"/>
      <w:r>
        <w:t xml:space="preserve">  </w:t>
      </w:r>
      <w:r w:rsidR="008318DB">
        <w:t xml:space="preserve">With the assistance of the tools, </w:t>
      </w:r>
      <w:r>
        <w:t>CHW will be</w:t>
      </w:r>
      <w:r w:rsidR="008318DB">
        <w:t xml:space="preserve"> responsible of</w:t>
      </w:r>
      <w:r>
        <w:t xml:space="preserve"> guarante</w:t>
      </w:r>
      <w:r w:rsidR="008318DB">
        <w:t>eing</w:t>
      </w:r>
      <w:r>
        <w:t xml:space="preserve"> the connection between pregnant woman and health services, motivational interviewing, counselling, and goal setting.  </w:t>
      </w:r>
      <w:r w:rsidR="008318DB">
        <w:t>Therefore, CHW must have</w:t>
      </w:r>
      <w:r>
        <w:t xml:space="preserve"> </w:t>
      </w:r>
      <w:r w:rsidR="008318DB">
        <w:t>a</w:t>
      </w:r>
      <w:r>
        <w:t xml:space="preserve"> post-secondary education or bachelor degree, fluency on the language of the community, and, </w:t>
      </w:r>
      <w:r w:rsidR="008318DB">
        <w:t>preferably</w:t>
      </w:r>
      <w:r>
        <w:t xml:space="preserve">, being a member of the target community </w:t>
      </w:r>
      <w:r>
        <w:fldChar w:fldCharType="begin" w:fldLock="1"/>
      </w:r>
      <w:r>
        <w:instrText>ADDIN CSL_CITATION {"citationItems":[{"id":"ITEM-1","itemData":{"DOI":"10.1007/s10995-014-1554-4","ISBN":"1099501415","ISSN":"15736628","PMID":"25138628","abstract":"The evidence is limited on the effectiveness of home visiting care coordination in addressing poor birth outcome, including low birth weight (LBW). The Community Health Access Project (CHAP) utilizes community health workers (CHWs) to identify women at risk of having poor birth outcomes, connect them to health and social services, and track each identified health or social issue to a measurable completion. CHWs are trained individuals from the same highest risk communities. The CHAP Pathways Model is used to track each maternal health and social service need to resolution and CHWs are paid based upon outcomes. We evaluated the impact of the CHAP Pathways program on LBW in an urban Ohio community. Women participating in CHAP and having a live birth in 2001 through 2004 constituted the intervention group. Using birth certificate records, each CHAP birth was matched through propensity score to a control birth from the same census tract and year. Logistic regression was used to examine the association of CHAP participation with LBW while controlling for risk factors for LBW. We identified 115 CHAP clients and 115 control births. Among the intervention group there were seven LBW births (6.1 %) compared with 15 (13.0 %) among non-CHAP clients. The adjusted odds ratio for LBW was 0.35 (95 % confidence interval, 0.12-0.96) among CHAP clients. This study provides evidence that structured community care coordination coupled with tracking and payment for outcomes may reduce LBW birth among high-risk women.","author":[{"dropping-particle":"","family":"Redding","given":"Sarah","non-dropping-particle":"","parse-names":false,"suffix":""},{"dropping-particle":"","family":"Conrey","given":"Elizabeth","non-dropping-particle":"","parse-names":false,"suffix":""},{"dropping-particle":"","family":"Porter","given":"Kyle","non-dropping-particle":"","parse-names":false,"suffix":""},{"dropping-particle":"","family":"Paulson","given":"John","non-dropping-particle":"","parse-names":false,"suffix":""},{"dropping-particle":"","family":"Hughes","given":"Karen","non-dropping-particle":"","parse-names":false,"suffix":""},{"dropping-particle":"","family":"Redding","given":"Mark","non-dropping-particle":"","parse-names":false,"suffix":""}],"container-title":"Maternal and Child Health Journal","id":"ITEM-1","issue":"3","issued":{"date-parts":[["2015"]]},"page":"643-650","title":"Pathways Community Care Coordination in Low Birth Weight Prevention","type":"article-journal","volume":"19"},"uris":["http://www.mendeley.com/documents/?uuid=926c524c-e8f3-49f0-abeb-5f71867395ef"]},{"id":"ITEM-2","itemData":{"DOI":"10.1080/16549716.2017.1272223","ISSN":"16549880","abstract":"BACKGROUND Community health workers (CHWs) can play vital roles in increasing coverage of basic health services. However, there is a need for a systematic categorisation of CHWs that will aid common understanding among policy makers, programme planners, and researchers. OBJECTIVE To identify the common themes in the definitions and descriptions of CHWs that will aid delineation within this cadre and distinguish CHWs from other healthcare providers. DESIGN A systematic review of peer-reviewed papers and grey literature. RESULTS We identified 119 papers that provided definitions of CHWs in 25 countries across 7 regions. The review shows CHWs as paraprofessionals or lay individuals with an in-depth understanding of the community culture and language, have received standardised job-related training of a shorter duration than health professionals, and their primary goal is to provide culturally appropriate health services to the community. CHWs can be categorised into three groups by education and pre-service training. These are lay health workers (individuals with little or no formal education who undergo a few days to a few weeks of informal training), level 1 paraprofessionals (individuals with some form of secondary education and subsequent informal training), and level 2 paraprofessionals (individuals with some form of secondary education and subsequent formal training lasting a few months to more than a year). Lay health workers tend to provide basic health services as unpaid volunteers while level 1 paraprofessionals often receive an allowance and level 2 paraprofessionals tend to be salaried. CONCLUSIONS This review provides a categorisation of CHWs that may be useful for health policy formulation, programme planning, and research.","author":[{"dropping-particle":"","family":"Olaniran","given":"Abimbola","non-dropping-particle":"","parse-names":false,"suffix":""},{"dropping-particle":"","family":"Smith","given":"Helen","non-dropping-particle":"","parse-names":false,"suffix":""},{"dropping-particle":"","family":"Unkels","given":"Regine","non-dropping-particle":"","parse-names":false,"suffix":""},{"dropping-particle":"","family":"Bar-Zeev","given":"Sarah","non-dropping-particle":"","parse-names":false,"suffix":""},{"dropping-particle":"","family":"Broek","given":"Nynke","non-dropping-particle":"van den","parse-names":false,"suffix":""}],"container-title":"Global Health Action","id":"ITEM-2","issue":"1","issued":{"date-parts":[["2017"]]},"publisher":"Taylor &amp; Francis","title":"Who is a community health worker? - A systematic review of definitions","type":"article-journal","volume":"10"},"uris":["http://www.mendeley.com/documents/?uuid=ea2ccb35-9483-451e-b5c6-f3d22d87342f"]},{"id":"ITEM-3","itemData":{"author":[{"dropping-particle":"","family":"WHO","given":"","non-dropping-particle":"","parse-names":false,"suffix":""}],"id":"ITEM-3","issue":"January","issued":{"date-parts":[["2007"]]},"title":"Community health workers : Policy brief","type":"article-journal"},"uris":["http://www.mendeley.com/documents/?uuid=a5be77c0-60a8-42e4-a2b1-238bd393fb40"]}],"mendeley":{"formattedCitation":"(Olaniran, Smith, Unkels, Bar-Zeev, &amp; van den Broek, 2017; Redding et al., 2015; WHO, 2007)","plainTextFormattedCitation":"(Olaniran, Smith, Unkels, Bar-Zeev, &amp; van den Broek, 2017; Redding et al., 2015; WHO, 2007)","previouslyFormattedCitation":"(Olaniran, Smith, Unkels, Bar-Zeev, &amp; van den Broek, 2017; Redding et al., 2015; WHO, 2007)"},"properties":{"noteIndex":0},"schema":"https://github.com/citation-style-language/schema/raw/master/csl-citation.json"}</w:instrText>
      </w:r>
      <w:r>
        <w:fldChar w:fldCharType="separate"/>
      </w:r>
      <w:r w:rsidRPr="005C493C">
        <w:rPr>
          <w:noProof/>
        </w:rPr>
        <w:t>(Olaniran, Smith, Unkels, Bar-Zeev, &amp; van den Broek, 2017; Redding et al., 2015; WHO, 2007)</w:t>
      </w:r>
      <w:r>
        <w:fldChar w:fldCharType="end"/>
      </w:r>
      <w:r>
        <w:t xml:space="preserve">.  </w:t>
      </w:r>
      <w:r w:rsidR="008318DB">
        <w:t>Compensation for CHW can</w:t>
      </w:r>
      <w:r>
        <w:t xml:space="preserve"> based upon the mean annual wage published by </w:t>
      </w:r>
      <w:r>
        <w:fldChar w:fldCharType="begin" w:fldLock="1"/>
      </w:r>
      <w:r>
        <w:instrText>ADDIN CSL_CITATION {"citationItems":[{"id":"ITEM-1","itemData":{"URL":"https://www.bls.gov/oes/current/oes211094.htm","author":[{"dropping-particle":"","family":"U.S. Bureau of Labor Statistics","given":"","non-dropping-particle":"","parse-names":false,"suffix":""}],"id":"ITEM-1","issue":"May","issued":{"date-parts":[["2012"]]},"page":"1-8","title":"U . S . Bureau of Labor Statistics Occupational Employment Statistics Occupational Employment and Wages , May 2012 39-9011 Childcare Workers","type":"webpage"},"uris":["http://www.mendeley.com/documents/?uuid=0f352c5b-6e23-44f6-988c-77c7ae2ae2fe"]}],"mendeley":{"formattedCitation":"(U.S. Bureau of Labor Statistics, 2012)","plainTextFormattedCitation":"(U.S. Bureau of Labor Statistics, 2012)","previouslyFormattedCitation":"(U.S. Bureau of Labor Statistics, 2012)"},"properties":{"noteIndex":0},"schema":"https://github.com/citation-style-language/schema/raw/master/csl-citation.json"}</w:instrText>
      </w:r>
      <w:r>
        <w:fldChar w:fldCharType="separate"/>
      </w:r>
      <w:r w:rsidRPr="005C493C">
        <w:rPr>
          <w:noProof/>
        </w:rPr>
        <w:t>(U.S. Bureau of Labor Statistics, 2012)</w:t>
      </w:r>
      <w:r>
        <w:fldChar w:fldCharType="end"/>
      </w:r>
      <w:r>
        <w:t xml:space="preserve"> which is ~$43,480 U.S. dollars per year.</w:t>
      </w:r>
    </w:p>
    <w:p w14:paraId="7EC471E5" w14:textId="0CE57434" w:rsidR="00683DC5" w:rsidRDefault="00683DC5" w:rsidP="00683DC5">
      <w:bookmarkStart w:id="20" w:name="_Hlk7120589"/>
      <w:r>
        <w:t>The proposed solution will integrate various components that can affect the workflow of Clinical Services  and Health Informatics teams</w:t>
      </w:r>
      <w:bookmarkEnd w:id="20"/>
      <w:r>
        <w:t>, for more information review</w:t>
      </w:r>
      <w:r w:rsidR="00B96CF1">
        <w:t xml:space="preserve"> </w:t>
      </w:r>
      <w:r w:rsidR="00B96CF1">
        <w:fldChar w:fldCharType="begin"/>
      </w:r>
      <w:r w:rsidR="00B96CF1">
        <w:instrText xml:space="preserve"> REF _Ref7038222 \h </w:instrText>
      </w:r>
      <w:r w:rsidR="00B96CF1">
        <w:fldChar w:fldCharType="separate"/>
      </w:r>
      <w:r w:rsidR="00B96CF1">
        <w:t xml:space="preserve">Figure </w:t>
      </w:r>
      <w:r w:rsidR="00B96CF1">
        <w:rPr>
          <w:noProof/>
        </w:rPr>
        <w:t>2</w:t>
      </w:r>
      <w:r w:rsidR="00B96CF1">
        <w:t xml:space="preserve">. </w:t>
      </w:r>
      <w:r w:rsidR="00B96CF1" w:rsidRPr="00A7496E">
        <w:t>Heartland Health Main Organization Chart</w:t>
      </w:r>
      <w:r w:rsidR="00B96CF1">
        <w:fldChar w:fldCharType="end"/>
      </w:r>
      <w:r>
        <w:t xml:space="preserve">.  The assumption is that </w:t>
      </w:r>
      <w:r w:rsidRPr="00300B0E">
        <w:rPr>
          <w:i/>
        </w:rPr>
        <w:t>Clinical Services</w:t>
      </w:r>
      <w:r>
        <w:t xml:space="preserve"> team will evaluate the impact on clinical workflow, potential risks on the use of the framework, implementation plan, and the need for the incorporation of new personnel.  On the other hand, </w:t>
      </w:r>
      <w:r w:rsidRPr="00300B0E">
        <w:rPr>
          <w:i/>
        </w:rPr>
        <w:t>Health Informatics</w:t>
      </w:r>
      <w:r>
        <w:t xml:space="preserve"> team will most likely evaluate data security of the application, technical </w:t>
      </w:r>
      <w:r>
        <w:lastRenderedPageBreak/>
        <w:t>implementation, and technology requirements.  Finally, it is assumed that both teams will evaluate startup, operational and maintenance costs.</w:t>
      </w:r>
    </w:p>
    <w:p w14:paraId="5D66F82F" w14:textId="1F7C25B0" w:rsidR="00683DC5" w:rsidRPr="009D0969" w:rsidRDefault="00683DC5" w:rsidP="00683DC5">
      <w:pPr>
        <w:rPr>
          <w:strike/>
        </w:rPr>
      </w:pPr>
      <w:r>
        <w:t>Refer to</w:t>
      </w:r>
      <w:r w:rsidR="0010570F">
        <w:t xml:space="preserve"> </w:t>
      </w:r>
      <w:r w:rsidR="0010570F">
        <w:fldChar w:fldCharType="begin"/>
      </w:r>
      <w:r w:rsidR="0010570F">
        <w:instrText xml:space="preserve"> REF _Ref7038314 \h </w:instrText>
      </w:r>
      <w:r w:rsidR="0010570F">
        <w:fldChar w:fldCharType="separate"/>
      </w:r>
      <w:r w:rsidR="0010570F" w:rsidRPr="00D1748F">
        <w:rPr>
          <w:rStyle w:val="Emphasis"/>
        </w:rPr>
        <w:t xml:space="preserve">Figure </w:t>
      </w:r>
      <w:r w:rsidR="0010570F">
        <w:rPr>
          <w:rStyle w:val="Emphasis"/>
          <w:noProof/>
        </w:rPr>
        <w:t>4</w:t>
      </w:r>
      <w:r w:rsidR="0010570F" w:rsidRPr="00D1748F">
        <w:rPr>
          <w:rStyle w:val="Emphasis"/>
        </w:rPr>
        <w:t>. Heartland Health Proposed Strategic Plan</w:t>
      </w:r>
      <w:r w:rsidR="0010570F">
        <w:fldChar w:fldCharType="end"/>
      </w:r>
      <w:r>
        <w:t xml:space="preserve"> </w:t>
      </w:r>
      <w:r w:rsidR="0010570F">
        <w:t>to review the complete plan</w:t>
      </w:r>
      <w:r w:rsidR="007A1B67">
        <w:t>.  T</w:t>
      </w:r>
      <w:r>
        <w:t xml:space="preserve">he proposed strategic plan for </w:t>
      </w:r>
      <w:r w:rsidRPr="00596DB9">
        <w:rPr>
          <w:i/>
        </w:rPr>
        <w:t>Heartland Health</w:t>
      </w:r>
      <w:r>
        <w:t xml:space="preserve"> is directed towards transforming this health care organization into the main health care provider pregnant women.  The main goal of this strategic plan is to decrease the infant-mortality rate, nevertheless, two more goals were added in order to provide a mark-up for the implementation of the </w:t>
      </w:r>
      <w:r>
        <w:rPr>
          <w:i/>
        </w:rPr>
        <w:t>Home Visiting Service and Framework</w:t>
      </w:r>
      <w:r>
        <w:t xml:space="preserve">.  Objectives take in account key performance indicators: infant mortality rate; direct costs related to low gestational weight; and, implementation of data-based solutions.  Finally, the action plan delimits the scope for the </w:t>
      </w:r>
      <w:r>
        <w:rPr>
          <w:i/>
        </w:rPr>
        <w:t>Home Visiting Service and Framework.</w:t>
      </w:r>
      <w:r w:rsidRPr="009D0969">
        <w:rPr>
          <w:strike/>
        </w:rPr>
        <w:t xml:space="preserve"> </w:t>
      </w:r>
    </w:p>
    <w:p w14:paraId="5EE4813A" w14:textId="2AB9003D" w:rsidR="00683DC5" w:rsidRDefault="00683DC5" w:rsidP="00683DC5">
      <w:r>
        <w:t xml:space="preserve">The analysis of the Strengths, Weakness, Opportunities and Threats (SWOT) Analysis is a methodology that helps to understand the current status of </w:t>
      </w:r>
      <w:r>
        <w:rPr>
          <w:i/>
        </w:rPr>
        <w:t>Heartland Health</w:t>
      </w:r>
      <w:r>
        <w:t xml:space="preserve"> in relation to internal and external factors</w:t>
      </w:r>
      <w:r w:rsidR="00447885">
        <w:t xml:space="preserve">.  </w:t>
      </w:r>
      <w:r w:rsidR="00447885" w:rsidRPr="00447885">
        <w:rPr>
          <w:i/>
        </w:rPr>
        <w:t>Figure 5. Heartland Health SWOT Analysis</w:t>
      </w:r>
      <w:r w:rsidR="00447885">
        <w:t xml:space="preserve"> </w:t>
      </w:r>
      <w:r w:rsidR="00447885">
        <w:t>shows the identified strengths, weakness</w:t>
      </w:r>
      <w:r>
        <w:t xml:space="preserve">, opportunities and threats for </w:t>
      </w:r>
      <w:r w:rsidRPr="00C64E7D">
        <w:rPr>
          <w:i/>
        </w:rPr>
        <w:t>Heartland Health</w:t>
      </w:r>
      <w:r>
        <w:t xml:space="preserve">.  The identified strengths for this organization are in deep relation with the knowledge, commitment and close-relation with the community.  Of the identified areas of opportunity, </w:t>
      </w:r>
      <w:r w:rsidRPr="00C64E7D">
        <w:rPr>
          <w:i/>
        </w:rPr>
        <w:t>Heartland Health</w:t>
      </w:r>
      <w:r>
        <w:t xml:space="preserve"> is an organization that can broaden the scope of population and incomes resources by reaching out to the growing population.  The identified weaknesses are related to the lack of interaction of</w:t>
      </w:r>
      <w:bookmarkStart w:id="21" w:name="_GoBack"/>
      <w:bookmarkEnd w:id="21"/>
      <w:r>
        <w:t xml:space="preserve"> Heartland Health with outside sources, namely: ideologies and technology practices.  Finally, the external threats that can affect this organization are mostly related to the changes that will be initiated by the construction of an HMO clinic, new industries, lack of relation with health insurance providers, no possibility of providing meaningful use attestation, and population mobility.</w:t>
      </w:r>
    </w:p>
    <w:p w14:paraId="780F58A4" w14:textId="27397BF1" w:rsidR="00A64EAC" w:rsidRDefault="00A64EAC" w:rsidP="00A64EAC">
      <w:pPr>
        <w:pStyle w:val="SectionTitle"/>
      </w:pPr>
      <w:r>
        <w:lastRenderedPageBreak/>
        <w:t>Financial Prospectus</w:t>
      </w:r>
    </w:p>
    <w:p w14:paraId="1A30D81C" w14:textId="77777777" w:rsidR="00A64EAC" w:rsidRDefault="00A64EAC" w:rsidP="00A64EAC">
      <w:pPr>
        <w:pStyle w:val="Heading2"/>
        <w:rPr>
          <w:lang w:eastAsia="en-US"/>
        </w:rPr>
      </w:pPr>
      <w:r w:rsidRPr="0077750B">
        <w:rPr>
          <w:lang w:eastAsia="en-US"/>
        </w:rPr>
        <w:t>Revenue and Expense Assumptions</w:t>
      </w:r>
    </w:p>
    <w:p w14:paraId="5EDF6464" w14:textId="77777777" w:rsidR="00A64EAC" w:rsidRDefault="00A64EAC" w:rsidP="00A64EAC">
      <w:pPr>
        <w:rPr>
          <w:rFonts w:ascii="Times New Roman" w:eastAsiaTheme="minorHAnsi" w:hAnsi="Times New Roman" w:cs="Times New Roman"/>
          <w:kern w:val="0"/>
          <w:lang w:eastAsia="en-US"/>
        </w:rPr>
      </w:pPr>
      <w:r w:rsidRPr="0077750B">
        <w:rPr>
          <w:rFonts w:ascii="Times New Roman" w:eastAsiaTheme="minorHAnsi" w:hAnsi="Times New Roman" w:cs="Times New Roman"/>
          <w:kern w:val="0"/>
          <w:lang w:eastAsia="en-US"/>
        </w:rPr>
        <w:t>1. Sales/Revenue—First year’s annual volume increase is 100 RVUs per month x 12 months = 1200 RVU/yr. Revenue is RVU= $45.  1200 x $45 = $54,000. Second and third year annual increases in patient visits of 80 visits a month= 960 RVU/yr. x $45 = $43,200. Similar electronic medical record implementations experienced an increase in the volume of patient office visits/revenue due to ability to send automatic text messages reminders of visits and seasonal reminders of flu shots (Agency for Healthcare Research and Quality, 2016).</w:t>
      </w:r>
    </w:p>
    <w:p w14:paraId="3B1B2F56" w14:textId="77777777" w:rsidR="00A64EAC" w:rsidRDefault="00A64EAC" w:rsidP="00A64EAC">
      <w:pPr>
        <w:rPr>
          <w:rFonts w:ascii="Times New Roman" w:eastAsiaTheme="minorHAnsi" w:hAnsi="Times New Roman" w:cs="Times New Roman"/>
          <w:kern w:val="0"/>
          <w:lang w:eastAsia="en-US"/>
        </w:rPr>
      </w:pPr>
      <w:r w:rsidRPr="0077750B">
        <w:rPr>
          <w:rFonts w:ascii="Times New Roman" w:eastAsiaTheme="minorHAnsi" w:hAnsi="Times New Roman" w:cs="Times New Roman"/>
          <w:kern w:val="0"/>
          <w:lang w:eastAsia="en-US"/>
        </w:rPr>
        <w:t>2. Expense—sum of lines 5-9</w:t>
      </w:r>
    </w:p>
    <w:p w14:paraId="1CF3DC5F" w14:textId="77777777" w:rsidR="00A64EAC" w:rsidRDefault="00A64EAC" w:rsidP="00A64EAC">
      <w:pPr>
        <w:rPr>
          <w:rFonts w:ascii="Times New Roman" w:eastAsiaTheme="minorHAnsi" w:hAnsi="Times New Roman" w:cs="Times New Roman"/>
          <w:kern w:val="0"/>
          <w:lang w:eastAsia="en-US"/>
        </w:rPr>
      </w:pPr>
      <w:r w:rsidRPr="0077750B">
        <w:rPr>
          <w:rFonts w:ascii="Times New Roman" w:eastAsiaTheme="minorHAnsi" w:hAnsi="Times New Roman" w:cs="Times New Roman"/>
          <w:kern w:val="0"/>
          <w:lang w:eastAsia="en-US"/>
        </w:rPr>
        <w:t>3. Operating income—sales/revenue minus cost/expense</w:t>
      </w:r>
    </w:p>
    <w:p w14:paraId="5259F217" w14:textId="77777777" w:rsidR="00A64EAC" w:rsidRDefault="00A64EAC" w:rsidP="00A64EAC">
      <w:pPr>
        <w:rPr>
          <w:rFonts w:ascii="Times New Roman" w:eastAsiaTheme="minorHAnsi" w:hAnsi="Times New Roman" w:cs="Times New Roman"/>
          <w:kern w:val="0"/>
          <w:lang w:eastAsia="en-US"/>
        </w:rPr>
      </w:pPr>
      <w:r w:rsidRPr="0077750B">
        <w:rPr>
          <w:rFonts w:ascii="Times New Roman" w:eastAsiaTheme="minorHAnsi" w:hAnsi="Times New Roman" w:cs="Times New Roman"/>
          <w:kern w:val="0"/>
          <w:lang w:eastAsia="en-US"/>
        </w:rPr>
        <w:t>4. Operating margin—divide operating income by revenue x 100 to obtain percent</w:t>
      </w:r>
    </w:p>
    <w:p w14:paraId="5FA9446E" w14:textId="77777777" w:rsidR="00A64EAC" w:rsidRDefault="00A64EAC" w:rsidP="00A64EAC">
      <w:pPr>
        <w:pStyle w:val="Heading2"/>
      </w:pPr>
      <w:r w:rsidRPr="00223DA6">
        <w:t xml:space="preserve">Expense </w:t>
      </w:r>
      <w:r>
        <w:t>Assumptions</w:t>
      </w:r>
    </w:p>
    <w:p w14:paraId="7BB31543" w14:textId="77777777" w:rsidR="00A64EAC" w:rsidRPr="00223DA6" w:rsidRDefault="00A64EAC" w:rsidP="00A64EAC">
      <w:r>
        <w:t>5</w:t>
      </w:r>
      <w:r w:rsidRPr="00223DA6">
        <w:t>. Salaries</w:t>
      </w:r>
      <w:r>
        <w:t xml:space="preserve"> and wages</w:t>
      </w:r>
      <w:r w:rsidRPr="00223DA6">
        <w:t>--Training and productivity loss; 4 providers 40 hours training each x $200/hr. = $32000. 6 receptionists/medical assistants 40 hours training x $15 = $3600. 1 biller 40 hours training x $15 = $600.   $32000+$3600 +$600=$36</w:t>
      </w:r>
      <w:r>
        <w:t>,200</w:t>
      </w:r>
      <w:r w:rsidRPr="00223DA6">
        <w:t xml:space="preserve"> Informatics technician training required—No additional. </w:t>
      </w:r>
    </w:p>
    <w:p w14:paraId="20439B5C" w14:textId="77777777" w:rsidR="00A64EAC" w:rsidRPr="00223DA6" w:rsidRDefault="00A64EAC" w:rsidP="00A64EAC">
      <w:r>
        <w:t>6. Materials and s</w:t>
      </w:r>
      <w:r w:rsidRPr="00223DA6">
        <w:t>upplies required—no additional</w:t>
      </w:r>
    </w:p>
    <w:p w14:paraId="5CABE12D" w14:textId="77777777" w:rsidR="00A64EAC" w:rsidRPr="00223DA6" w:rsidRDefault="00A64EAC" w:rsidP="00A64EAC">
      <w:r>
        <w:t>7</w:t>
      </w:r>
      <w:r w:rsidRPr="00223DA6">
        <w:t>. Technology—contract services annually--support for computerized technology is $8000</w:t>
      </w:r>
    </w:p>
    <w:p w14:paraId="48EA637F" w14:textId="77777777" w:rsidR="00A64EAC" w:rsidRPr="00223DA6" w:rsidRDefault="00A64EAC" w:rsidP="00A64EAC">
      <w:r>
        <w:t>8</w:t>
      </w:r>
      <w:r w:rsidRPr="00223DA6">
        <w:t>. Depreciation and Amortization—none {use when recording the depreciation of an asset [e.g. land, building or equipment (computer)] reducing their historical cost by accumulated depreciation (refer to page 264 in textbook for more details) Amortization schedule records the principal and interest contained in each payment.}</w:t>
      </w:r>
    </w:p>
    <w:p w14:paraId="62F7EB68" w14:textId="77777777" w:rsidR="00A64EAC" w:rsidRPr="00223DA6" w:rsidRDefault="00A64EAC" w:rsidP="00A64EAC">
      <w:r>
        <w:lastRenderedPageBreak/>
        <w:t>9</w:t>
      </w:r>
      <w:r w:rsidRPr="00223DA6">
        <w:t>. Interest—none (use when loan is involved and cost of interest must be considered)</w:t>
      </w:r>
    </w:p>
    <w:p w14:paraId="5C0EE0AD" w14:textId="77777777" w:rsidR="00A64EAC" w:rsidRDefault="00A64EAC" w:rsidP="00A64EAC">
      <w:r>
        <w:t>10</w:t>
      </w:r>
      <w:r w:rsidRPr="00223DA6">
        <w:t xml:space="preserve">. Total expense— sum of lines </w:t>
      </w:r>
      <w:r>
        <w:t>5-9</w:t>
      </w:r>
      <w:r w:rsidRPr="00223DA6">
        <w:t xml:space="preserve"> </w:t>
      </w:r>
    </w:p>
    <w:p w14:paraId="41CE3C44" w14:textId="77777777" w:rsidR="00A64EAC" w:rsidRPr="00223DA6" w:rsidRDefault="00A64EAC" w:rsidP="00A64EAC">
      <w:pPr>
        <w:pStyle w:val="Heading2"/>
      </w:pPr>
      <w:r w:rsidRPr="00223DA6">
        <w:t>Net</w:t>
      </w:r>
      <w:r>
        <w:t xml:space="preserve"> </w:t>
      </w:r>
      <w:r w:rsidRPr="00223DA6">
        <w:t>Income</w:t>
      </w:r>
      <w:r>
        <w:t xml:space="preserve"> Assumptions</w:t>
      </w:r>
    </w:p>
    <w:p w14:paraId="1FEADA5E" w14:textId="77777777" w:rsidR="00A64EAC" w:rsidRDefault="00A64EAC" w:rsidP="00A64EAC">
      <w:r>
        <w:t>11</w:t>
      </w:r>
      <w:r w:rsidRPr="00223DA6">
        <w:t>. Net</w:t>
      </w:r>
      <w:r>
        <w:t xml:space="preserve"> Income—sales</w:t>
      </w:r>
      <w:r w:rsidRPr="00223DA6">
        <w:t>/revenue minus the total expense</w:t>
      </w:r>
    </w:p>
    <w:p w14:paraId="0FC7FD93" w14:textId="77777777" w:rsidR="00A64EAC" w:rsidRPr="00223DA6" w:rsidRDefault="00A64EAC" w:rsidP="00A64EAC">
      <w:pPr>
        <w:pStyle w:val="Heading2"/>
      </w:pPr>
      <w:r w:rsidRPr="00223DA6">
        <w:t>Cash Flow Report Assumptions</w:t>
      </w:r>
    </w:p>
    <w:p w14:paraId="0657B770" w14:textId="77777777" w:rsidR="00A64EAC" w:rsidRPr="00223DA6" w:rsidRDefault="00A64EAC" w:rsidP="00A64EAC">
      <w:r w:rsidRPr="00223DA6">
        <w:t>1</w:t>
      </w:r>
      <w:r>
        <w:t>2</w:t>
      </w:r>
      <w:r w:rsidRPr="00223DA6">
        <w:t>. Net</w:t>
      </w:r>
      <w:r>
        <w:t xml:space="preserve"> income—repeat</w:t>
      </w:r>
      <w:r w:rsidRPr="00223DA6">
        <w:t xml:space="preserve"> net income from line</w:t>
      </w:r>
      <w:r>
        <w:t xml:space="preserve"> 11</w:t>
      </w:r>
    </w:p>
    <w:p w14:paraId="6E24FEA7" w14:textId="77777777" w:rsidR="00A64EAC" w:rsidRPr="00223DA6" w:rsidRDefault="00A64EAC" w:rsidP="00A64EAC">
      <w:r w:rsidRPr="00223DA6">
        <w:t>1</w:t>
      </w:r>
      <w:r>
        <w:t>3</w:t>
      </w:r>
      <w:r w:rsidRPr="00223DA6">
        <w:t>. Depreciation</w:t>
      </w:r>
      <w:r>
        <w:t>—repeat</w:t>
      </w:r>
      <w:r w:rsidRPr="00223DA6">
        <w:t xml:space="preserve"> line </w:t>
      </w:r>
      <w:r>
        <w:t>8</w:t>
      </w:r>
    </w:p>
    <w:p w14:paraId="1C4A4B00" w14:textId="77777777" w:rsidR="00A64EAC" w:rsidRPr="00223DA6" w:rsidRDefault="00A64EAC" w:rsidP="00A64EAC">
      <w:r w:rsidRPr="00223DA6">
        <w:t>1</w:t>
      </w:r>
      <w:r>
        <w:t>4</w:t>
      </w:r>
      <w:r w:rsidRPr="00223DA6">
        <w:t>. Borrowing</w:t>
      </w:r>
      <w:r>
        <w:t>—repeat</w:t>
      </w:r>
      <w:r w:rsidRPr="00223DA6">
        <w:t xml:space="preserve"> line </w:t>
      </w:r>
      <w:r>
        <w:t>9</w:t>
      </w:r>
    </w:p>
    <w:p w14:paraId="692BFC10" w14:textId="77777777" w:rsidR="00A64EAC" w:rsidRPr="00223DA6" w:rsidRDefault="00A64EAC" w:rsidP="00A64EAC">
      <w:r w:rsidRPr="00223DA6">
        <w:t>1</w:t>
      </w:r>
      <w:r>
        <w:t>5</w:t>
      </w:r>
      <w:r w:rsidRPr="00223DA6">
        <w:t>. Total</w:t>
      </w:r>
      <w:r>
        <w:t xml:space="preserve"> sources—add</w:t>
      </w:r>
      <w:r w:rsidRPr="00223DA6">
        <w:t xml:space="preserve"> lines </w:t>
      </w:r>
      <w:r>
        <w:t>12-14</w:t>
      </w:r>
    </w:p>
    <w:p w14:paraId="5771F370" w14:textId="77777777" w:rsidR="00A64EAC" w:rsidRPr="00223DA6" w:rsidRDefault="00A64EAC" w:rsidP="00A64EAC">
      <w:r w:rsidRPr="00223DA6">
        <w:t>1</w:t>
      </w:r>
      <w:r>
        <w:t>6</w:t>
      </w:r>
      <w:r w:rsidRPr="00223DA6">
        <w:t xml:space="preserve">. Capital </w:t>
      </w:r>
      <w:r>
        <w:t>purchasing</w:t>
      </w:r>
      <w:r w:rsidRPr="00223DA6">
        <w:t>—software $9,000 for cash purchase; no building; no equipment</w:t>
      </w:r>
    </w:p>
    <w:p w14:paraId="4994F2AB" w14:textId="77777777" w:rsidR="00A64EAC" w:rsidRPr="00223DA6" w:rsidRDefault="00A64EAC" w:rsidP="00A64EAC">
      <w:r w:rsidRPr="00223DA6">
        <w:t>1</w:t>
      </w:r>
      <w:r>
        <w:t>7</w:t>
      </w:r>
      <w:r w:rsidRPr="00223DA6">
        <w:t>. Working capital—none</w:t>
      </w:r>
    </w:p>
    <w:p w14:paraId="722E61EF" w14:textId="77777777" w:rsidR="00A64EAC" w:rsidRPr="00223DA6" w:rsidRDefault="00A64EAC" w:rsidP="00A64EAC">
      <w:r w:rsidRPr="00223DA6">
        <w:t>1</w:t>
      </w:r>
      <w:r>
        <w:t>8</w:t>
      </w:r>
      <w:r w:rsidRPr="00223DA6">
        <w:t>. Total Uses—add lines 1</w:t>
      </w:r>
      <w:r>
        <w:t>6 and 17</w:t>
      </w:r>
    </w:p>
    <w:p w14:paraId="78700987" w14:textId="77777777" w:rsidR="00A64EAC" w:rsidRPr="00223DA6" w:rsidRDefault="00A64EAC" w:rsidP="00A64EAC">
      <w:r w:rsidRPr="00223DA6">
        <w:t>1</w:t>
      </w:r>
      <w:r>
        <w:t>9</w:t>
      </w:r>
      <w:r w:rsidRPr="00223DA6">
        <w:t>. Cash at Beginning of Period—none</w:t>
      </w:r>
    </w:p>
    <w:p w14:paraId="7D2A7C0C" w14:textId="77777777" w:rsidR="00A64EAC" w:rsidRPr="00223DA6" w:rsidRDefault="00A64EAC" w:rsidP="00A64EAC">
      <w:r>
        <w:t>20. Net Cash activities—total</w:t>
      </w:r>
      <w:r w:rsidRPr="00223DA6">
        <w:t xml:space="preserve"> sources minus total uses</w:t>
      </w:r>
    </w:p>
    <w:p w14:paraId="61E5C9E0" w14:textId="77777777" w:rsidR="00A64EAC" w:rsidRPr="00223DA6" w:rsidRDefault="00A64EAC" w:rsidP="00A64EAC">
      <w:r>
        <w:t>21</w:t>
      </w:r>
      <w:r w:rsidRPr="00223DA6">
        <w:t>. Cash at Ending of Period—add line 1</w:t>
      </w:r>
      <w:r>
        <w:t>9</w:t>
      </w:r>
      <w:r w:rsidRPr="00223DA6">
        <w:t xml:space="preserve"> and line </w:t>
      </w:r>
      <w:r>
        <w:t>20</w:t>
      </w:r>
    </w:p>
    <w:p w14:paraId="477E7768" w14:textId="77777777" w:rsidR="00A64EAC" w:rsidRPr="00223DA6" w:rsidRDefault="00A64EAC" w:rsidP="00A64EAC">
      <w:pPr>
        <w:pStyle w:val="Heading2"/>
      </w:pPr>
      <w:r>
        <w:t>Volume/</w:t>
      </w:r>
      <w:r w:rsidRPr="00223DA6">
        <w:t>Productivity Report</w:t>
      </w:r>
      <w:r>
        <w:t xml:space="preserve"> </w:t>
      </w:r>
      <w:r w:rsidRPr="00223DA6">
        <w:t>Assumptions</w:t>
      </w:r>
    </w:p>
    <w:p w14:paraId="59B7B33C" w14:textId="77777777" w:rsidR="00A64EAC" w:rsidRDefault="00A64EAC" w:rsidP="00A64EAC">
      <w:r w:rsidRPr="00223DA6">
        <w:t>2</w:t>
      </w:r>
      <w:r>
        <w:t>2</w:t>
      </w:r>
      <w:r w:rsidRPr="00223DA6">
        <w:t>. Volume</w:t>
      </w:r>
      <w:r>
        <w:t xml:space="preserve"> statistic—RVU</w:t>
      </w:r>
      <w:r w:rsidRPr="00223DA6">
        <w:t xml:space="preserve"> = 15 minutes of office time with provider; the volume indicator relates to the sales/revenue</w:t>
      </w:r>
      <w:r>
        <w:t xml:space="preserve">:  </w:t>
      </w:r>
      <w:r w:rsidRPr="00223DA6">
        <w:t>Year 1:</w:t>
      </w:r>
      <w:r>
        <w:t xml:space="preserve"> </w:t>
      </w:r>
      <w:r w:rsidRPr="00223DA6">
        <w:t>1200, Year 2</w:t>
      </w:r>
      <w:r>
        <w:t xml:space="preserve">: 960, </w:t>
      </w:r>
      <w:r w:rsidRPr="00223DA6">
        <w:t xml:space="preserve">and </w:t>
      </w:r>
      <w:r>
        <w:t xml:space="preserve">Year </w:t>
      </w:r>
      <w:r w:rsidRPr="00223DA6">
        <w:t xml:space="preserve">3: 960  </w:t>
      </w:r>
    </w:p>
    <w:p w14:paraId="63549202" w14:textId="65AC406E" w:rsidR="00A64EAC" w:rsidRDefault="00A64EAC" w:rsidP="00A64EAC">
      <w:r w:rsidRPr="00A64EAC">
        <w:t>23. Cost per unit—total expense divided by RVU</w:t>
      </w:r>
    </w:p>
    <w:p w14:paraId="1C30B918" w14:textId="7A7E23FE" w:rsidR="005565B6" w:rsidRDefault="005565B6" w:rsidP="00A64EAC">
      <w:r>
        <w:t xml:space="preserve">Please, refer to: </w:t>
      </w:r>
      <w:r>
        <w:fldChar w:fldCharType="begin"/>
      </w:r>
      <w:r>
        <w:instrText xml:space="preserve"> REF _Ref7039045 \h </w:instrText>
      </w:r>
      <w:r>
        <w:fldChar w:fldCharType="separate"/>
      </w:r>
      <w:r>
        <w:t xml:space="preserve">Table </w:t>
      </w:r>
      <w:r>
        <w:rPr>
          <w:noProof/>
        </w:rPr>
        <w:t>2</w:t>
      </w:r>
      <w:r>
        <w:t xml:space="preserve">. </w:t>
      </w:r>
      <w:r w:rsidRPr="000E0BBA">
        <w:t>Heartland Health: Electronic Medical Record 3-Year Financial Prospectus</w:t>
      </w:r>
      <w:r>
        <w:fldChar w:fldCharType="end"/>
      </w:r>
    </w:p>
    <w:p w14:paraId="2AB3BC72" w14:textId="3BEAEABE" w:rsidR="00A64EAC" w:rsidRDefault="00A64EAC" w:rsidP="00A64EAC">
      <w:pPr>
        <w:pStyle w:val="SectionTitle"/>
      </w:pPr>
      <w:r>
        <w:lastRenderedPageBreak/>
        <w:t>Financial Summary</w:t>
      </w:r>
    </w:p>
    <w:p w14:paraId="72E07F25" w14:textId="25FE2F98" w:rsidR="00A64EAC" w:rsidRPr="00223DA6" w:rsidRDefault="00A64EAC" w:rsidP="00A64EAC">
      <w:pPr>
        <w:rPr>
          <w:rFonts w:ascii="Times New Roman" w:hAnsi="Times New Roman" w:cs="Times New Roman"/>
        </w:rPr>
      </w:pPr>
      <w:r w:rsidRPr="00223DA6">
        <w:rPr>
          <w:rFonts w:ascii="Times New Roman" w:hAnsi="Times New Roman" w:cs="Times New Roman"/>
        </w:rPr>
        <w:t xml:space="preserve">The </w:t>
      </w:r>
      <w:r>
        <w:rPr>
          <w:rFonts w:ascii="Times New Roman" w:hAnsi="Times New Roman" w:cs="Times New Roman"/>
        </w:rPr>
        <w:t xml:space="preserve">health information technology </w:t>
      </w:r>
      <w:r w:rsidRPr="00223DA6">
        <w:rPr>
          <w:rFonts w:ascii="Times New Roman" w:hAnsi="Times New Roman" w:cs="Times New Roman"/>
        </w:rPr>
        <w:t>project proposal is for the implementation of an electronic medical record in the offices of Heartland Health</w:t>
      </w:r>
      <w:r>
        <w:rPr>
          <w:rFonts w:ascii="Times New Roman" w:hAnsi="Times New Roman" w:cs="Times New Roman"/>
        </w:rPr>
        <w:t xml:space="preserve"> (Table 1)</w:t>
      </w:r>
      <w:r w:rsidRPr="00223DA6">
        <w:rPr>
          <w:rFonts w:ascii="Times New Roman" w:hAnsi="Times New Roman" w:cs="Times New Roman"/>
        </w:rPr>
        <w:t xml:space="preserve">. In the first year, RVUs are forecast to increase by </w:t>
      </w:r>
      <w:r>
        <w:rPr>
          <w:rFonts w:ascii="Times New Roman" w:hAnsi="Times New Roman" w:cs="Times New Roman"/>
          <w:b/>
        </w:rPr>
        <w:t>1200</w:t>
      </w:r>
      <w:r w:rsidRPr="00223DA6">
        <w:rPr>
          <w:rFonts w:ascii="Times New Roman" w:hAnsi="Times New Roman" w:cs="Times New Roman"/>
        </w:rPr>
        <w:t xml:space="preserve"> with </w:t>
      </w:r>
      <w:r>
        <w:rPr>
          <w:rFonts w:ascii="Times New Roman" w:hAnsi="Times New Roman" w:cs="Times New Roman"/>
        </w:rPr>
        <w:t xml:space="preserve">an </w:t>
      </w:r>
      <w:r w:rsidRPr="00223DA6">
        <w:rPr>
          <w:rFonts w:ascii="Times New Roman" w:hAnsi="Times New Roman" w:cs="Times New Roman"/>
        </w:rPr>
        <w:t>additional revenue of</w:t>
      </w:r>
      <w:r w:rsidRPr="003F4349">
        <w:rPr>
          <w:rFonts w:ascii="Times New Roman" w:hAnsi="Times New Roman" w:cs="Times New Roman"/>
          <w:b/>
        </w:rPr>
        <w:t xml:space="preserve"> </w:t>
      </w:r>
      <w:r>
        <w:rPr>
          <w:rFonts w:ascii="Times New Roman" w:hAnsi="Times New Roman" w:cs="Times New Roman"/>
          <w:b/>
        </w:rPr>
        <w:t>$54,000.00</w:t>
      </w:r>
      <w:r w:rsidRPr="003F4349">
        <w:rPr>
          <w:rFonts w:ascii="Times New Roman" w:hAnsi="Times New Roman" w:cs="Times New Roman"/>
          <w:b/>
        </w:rPr>
        <w:t>.</w:t>
      </w:r>
      <w:r w:rsidRPr="00223DA6">
        <w:rPr>
          <w:rFonts w:ascii="Times New Roman" w:hAnsi="Times New Roman" w:cs="Times New Roman"/>
        </w:rPr>
        <w:t xml:space="preserve">   The first year’s operating </w:t>
      </w:r>
      <w:r>
        <w:rPr>
          <w:rFonts w:ascii="Times New Roman" w:hAnsi="Times New Roman" w:cs="Times New Roman"/>
        </w:rPr>
        <w:t>expense</w:t>
      </w:r>
      <w:r w:rsidRPr="00223DA6">
        <w:rPr>
          <w:rFonts w:ascii="Times New Roman" w:hAnsi="Times New Roman" w:cs="Times New Roman"/>
        </w:rPr>
        <w:t xml:space="preserve"> of for the EMR installation is </w:t>
      </w:r>
      <w:r>
        <w:rPr>
          <w:rFonts w:ascii="Times New Roman" w:hAnsi="Times New Roman" w:cs="Times New Roman"/>
          <w:b/>
        </w:rPr>
        <w:t>$44,200.00</w:t>
      </w:r>
      <w:r w:rsidRPr="00223DA6">
        <w:rPr>
          <w:rFonts w:ascii="Times New Roman" w:hAnsi="Times New Roman" w:cs="Times New Roman"/>
        </w:rPr>
        <w:t xml:space="preserve">. </w:t>
      </w:r>
      <w:r>
        <w:rPr>
          <w:rFonts w:ascii="Times New Roman" w:hAnsi="Times New Roman" w:cs="Times New Roman"/>
        </w:rPr>
        <w:t>The o</w:t>
      </w:r>
      <w:r w:rsidRPr="00223DA6">
        <w:rPr>
          <w:rFonts w:ascii="Times New Roman" w:hAnsi="Times New Roman" w:cs="Times New Roman"/>
        </w:rPr>
        <w:t xml:space="preserve">perating margin is </w:t>
      </w:r>
      <w:r>
        <w:rPr>
          <w:rFonts w:ascii="Times New Roman" w:hAnsi="Times New Roman" w:cs="Times New Roman"/>
          <w:b/>
        </w:rPr>
        <w:t>18% for the first year</w:t>
      </w:r>
      <w:r w:rsidRPr="00223DA6">
        <w:rPr>
          <w:rFonts w:ascii="Times New Roman" w:hAnsi="Times New Roman" w:cs="Times New Roman"/>
        </w:rPr>
        <w:t xml:space="preserve">. </w:t>
      </w:r>
      <w:r>
        <w:rPr>
          <w:rFonts w:ascii="Times New Roman" w:hAnsi="Times New Roman" w:cs="Times New Roman"/>
        </w:rPr>
        <w:t xml:space="preserve">The cost per unit for Year 1 is </w:t>
      </w:r>
      <w:r>
        <w:rPr>
          <w:rFonts w:ascii="Times New Roman" w:hAnsi="Times New Roman" w:cs="Times New Roman"/>
          <w:b/>
        </w:rPr>
        <w:t>$36.83</w:t>
      </w:r>
      <w:r>
        <w:rPr>
          <w:rFonts w:ascii="Times New Roman" w:hAnsi="Times New Roman" w:cs="Times New Roman"/>
        </w:rPr>
        <w:t>.</w:t>
      </w:r>
      <w:r w:rsidRPr="00223DA6">
        <w:rPr>
          <w:rFonts w:ascii="Times New Roman" w:hAnsi="Times New Roman" w:cs="Times New Roman"/>
        </w:rPr>
        <w:t xml:space="preserve">  A capital cash purchase of </w:t>
      </w:r>
      <w:r>
        <w:rPr>
          <w:rFonts w:ascii="Times New Roman" w:hAnsi="Times New Roman" w:cs="Times New Roman"/>
          <w:b/>
        </w:rPr>
        <w:t>$9,000.00</w:t>
      </w:r>
      <w:r w:rsidRPr="00223DA6">
        <w:rPr>
          <w:rFonts w:ascii="Times New Roman" w:hAnsi="Times New Roman" w:cs="Times New Roman"/>
        </w:rPr>
        <w:t xml:space="preserve"> is required. Cash at ending of </w:t>
      </w:r>
      <w:r>
        <w:rPr>
          <w:rFonts w:ascii="Times New Roman" w:hAnsi="Times New Roman" w:cs="Times New Roman"/>
        </w:rPr>
        <w:t xml:space="preserve">a </w:t>
      </w:r>
      <w:r w:rsidRPr="00223DA6">
        <w:rPr>
          <w:rFonts w:ascii="Times New Roman" w:hAnsi="Times New Roman" w:cs="Times New Roman"/>
        </w:rPr>
        <w:t>3-year period is</w:t>
      </w:r>
      <w:r w:rsidRPr="003F4349">
        <w:rPr>
          <w:rFonts w:ascii="Times New Roman" w:hAnsi="Times New Roman" w:cs="Times New Roman"/>
          <w:b/>
        </w:rPr>
        <w:t xml:space="preserve"> </w:t>
      </w:r>
      <w:r>
        <w:rPr>
          <w:rFonts w:ascii="Times New Roman" w:hAnsi="Times New Roman" w:cs="Times New Roman"/>
          <w:b/>
        </w:rPr>
        <w:t>$71,200.00</w:t>
      </w:r>
      <w:r w:rsidRPr="003F4349">
        <w:rPr>
          <w:rFonts w:ascii="Times New Roman" w:hAnsi="Times New Roman" w:cs="Times New Roman"/>
          <w:b/>
        </w:rPr>
        <w:t>.</w:t>
      </w:r>
    </w:p>
    <w:p w14:paraId="3E3C5CE1" w14:textId="454465A4" w:rsidR="00A64EAC" w:rsidRDefault="004A3DCA" w:rsidP="004A3DCA">
      <w:pPr>
        <w:pStyle w:val="SectionTitle"/>
      </w:pPr>
      <w:r>
        <w:lastRenderedPageBreak/>
        <w:t>Marketing Strategy</w:t>
      </w:r>
    </w:p>
    <w:p w14:paraId="3CF6766A" w14:textId="77777777" w:rsidR="004A3DCA" w:rsidRDefault="004A3DCA" w:rsidP="004A3DCA">
      <w:bookmarkStart w:id="22" w:name="_Hlk7121958"/>
      <w:r w:rsidRPr="00643DFB">
        <w:rPr>
          <w:i/>
        </w:rPr>
        <w:t>Home Visiting Service and Framework</w:t>
      </w:r>
      <w:r>
        <w:t xml:space="preserve"> is a platform that uses data-driven strategies to decrease the incidence of low-birth weight and infant mortality.  This platform will allow to confirm the intervention on a risk factor, avoid resource waste and proper referral to tertiary perinatal centers related to the attention of low-birth weight and infant mortality.</w:t>
      </w:r>
      <w:bookmarkEnd w:id="22"/>
      <w:r>
        <w:t xml:space="preserve">  High risk and low risks pregnancies will be identified and referred to the correct levels of care.  This can help to decrease the burden and stress to health care providers within the organization; decrease costs to health care organization and population; decrease risks; and, strengthen the ties between the community and the health care organization .</w:t>
      </w:r>
    </w:p>
    <w:p w14:paraId="56299733" w14:textId="1D019EB4" w:rsidR="004A3DCA" w:rsidRDefault="004A3DCA" w:rsidP="004A3DCA">
      <w:r>
        <w:rPr>
          <w:i/>
        </w:rPr>
        <w:t>Home Visiting Service and Framework</w:t>
      </w:r>
      <w:r>
        <w:t xml:space="preserve"> platform have two main features: Home Visiting Service and Practice Guidelines.  For the Home Visiting Services, the champions will be the community health workers (CHW).  On the other hand, Practice Guidelines features will have as their champions the Leadership team of the health care organization.  CHW are trained individuals that can create a liaison between health care organizations and the community </w:t>
      </w:r>
      <w:r>
        <w:fldChar w:fldCharType="begin" w:fldLock="1"/>
      </w:r>
      <w:r w:rsidR="007B31F0">
        <w:instrText>ADDIN CSL_CITATION {"citationItems":[{"id":"ITEM-1","itemData":{"DOI":"10.1080/16549716.2017.1272223","ISSN":"16549880","abstract":"BACKGROUND Community health workers (CHWs) can play vital roles in increasing coverage of basic health services. However, there is a need for a systematic categorisation of CHWs that will aid common understanding among policy makers, programme planners, and researchers. OBJECTIVE To identify the common themes in the definitions and descriptions of CHWs that will aid delineation within this cadre and distinguish CHWs from other healthcare providers. DESIGN A systematic review of peer-reviewed papers and grey literature. RESULTS We identified 119 papers that provided definitions of CHWs in 25 countries across 7 regions. The review shows CHWs as paraprofessionals or lay individuals with an in-depth understanding of the community culture and language, have received standardised job-related training of a shorter duration than health professionals, and their primary goal is to provide culturally appropriate health services to the community. CHWs can be categorised into three groups by education and pre-service training. These are lay health workers (individuals with little or no formal education who undergo a few days to a few weeks of informal training), level 1 paraprofessionals (individuals with some form of secondary education and subsequent informal training), and level 2 paraprofessionals (individuals with some form of secondary education and subsequent formal training lasting a few months to more than a year). Lay health workers tend to provide basic health services as unpaid volunteers while level 1 paraprofessionals often receive an allowance and level 2 paraprofessionals tend to be salaried. CONCLUSIONS This review provides a categorisation of CHWs that may be useful for health policy formulation, programme planning, and research.","author":[{"dropping-particle":"","family":"Olaniran","given":"Abimbola","non-dropping-particle":"","parse-names":false,"suffix":""},{"dropping-particle":"","family":"Smith","given":"Helen","non-dropping-particle":"","parse-names":false,"suffix":""},{"dropping-particle":"","family":"Unkels","given":"Regine","non-dropping-particle":"","parse-names":false,"suffix":""},{"dropping-particle":"","family":"Bar-Zeev","given":"Sarah","non-dropping-particle":"","parse-names":false,"suffix":""},{"dropping-particle":"","family":"Broek","given":"Nynke","non-dropping-particle":"van den","parse-names":false,"suffix":""}],"container-title":"Global Health Action","id":"ITEM-1","issue":"1","issued":{"date-parts":[["2017"]]},"publisher":"Taylor &amp; Francis","title":"Who is a community health worker? - A systematic review of definitions","type":"article-journal","volume":"10"},"uris":["http://www.mendeley.com/documents/?uuid=ea2ccb35-9483-451e-b5c6-f3d22d87342f"]}],"mendeley":{"formattedCitation":"(Olaniran et al., 2017)","plainTextFormattedCitation":"(Olaniran et al., 2017)","previouslyFormattedCitation":"(Olaniran, Smith, Unkels, Bar-Zeev, &amp; van den Broek, 2017)"},"properties":{"noteIndex":0},"schema":"https://github.com/citation-style-language/schema/raw/master/csl-citation.json"}</w:instrText>
      </w:r>
      <w:r>
        <w:fldChar w:fldCharType="separate"/>
      </w:r>
      <w:r w:rsidR="007B31F0" w:rsidRPr="007B31F0">
        <w:rPr>
          <w:noProof/>
        </w:rPr>
        <w:t>(Olaniran et al., 2017)</w:t>
      </w:r>
      <w:r>
        <w:fldChar w:fldCharType="end"/>
      </w:r>
      <w:r>
        <w:t xml:space="preserve"> and assist to decrease significantly neonatal mortality in communities with limited access to health care facilities </w:t>
      </w:r>
      <w:r>
        <w:fldChar w:fldCharType="begin" w:fldLock="1"/>
      </w:r>
      <w:r>
        <w:instrText>ADDIN CSL_CITATION {"citationItems":[{"id":"ITEM-1","itemData":{"DOI":"10.1038/jp.2016.33","ISSN":"14765543","abstract":"The objective of this review is to assess the effect of home-based neonatal care provided by community health workers (CHWs) for preventing neonatal, infant and perinatal mortality in resource-limited settings with poor access to health facility-based care. The authors conducted a systematic review, including meta-analysis and meta-regression of controlled trials. The data sources included electronic databases, with a hand search of reviews, abstracts and proceedings of conferences to search for randomized, or cluster randomized, controlled trials evaluating the effect of home-based neonatal care provided by CHWs for preventing neonatal, infant and perinatal mortality. Among the included trials, all from South Asian countries, information on neonatal, infant and perinatal mortality was available in five, one and three trials, respectively. The intervention package comprised three components, namely, home visits during pregnancy (four trials), home-based preventive and/or curative neonatal care (all trials) and community mobilization efforts (four trials). Intervention was associated with a reduced risk of mortality during the neonatal (random effects model relative risk (RR) 0.75; 95% confidence intervals (CIs) 0.61 to 0.92, P=0.005; I(2)=82.2%, P&lt;0.001 for heterogeneity; high-quality evidence) and perinatal periods (random effects model RR 0.78; 95% CI 0.64 to 0.94, P=0.009; I(2)=79.6%, P=0.007 for heterogeneity; high-quality evidence). In one trial, a significant decline in infant mortality (RR 0.85; 95% CI 0.77 to 0.94) was documented. Subgroup and meta-regression analyses suggested a greater effect with a higher baseline neonatal mortality rate. The authors concluded that home-based neonatal care is associated with a reduction in neonatal and perinatal mortality in South Asian settings with high neonatal-mortality rates and poor access to health facility-based care. Adoption of a policy of home-based neonatal care provided by CHWs is justified in such settings.","author":[{"dropping-particle":"","family":"Gogia","given":"S.","non-dropping-particle":"","parse-names":false,"suffix":""},{"dropping-particle":"","family":"Sachdev","given":"H. P.S.","non-dropping-particle":"","parse-names":false,"suffix":""}],"container-title":"Journal of Perinatology","id":"ITEM-1","issue":"S1","issued":{"date-parts":[["2016"]]},"page":"S54-S72","publisher":"Nature Publishing Group","title":"Home-based neonatal care by community health workers for preventing mortality in neonates in low- and middle-income countries: A systematic review","type":"article-journal","volume":"36"},"uris":["http://www.mendeley.com/documents/?uuid=dc310bc6-b537-42fc-a13c-f632b2d8e3a3"]},{"id":"ITEM-2","itemData":{"DOI":"10.1080/01443610802243047","ISBN":"9780309101592","ISSN":"0144-3615","PMID":"20669423","abstract":"Preterm birth has usually been treated as a single entity, for epidemiological and statistical purposes. This traditional empiric approach, however, presupposes a single pathologic process for which treatment could be uniform. This approach has met with only limited success in the treatment and prevention of preterm labor. It is now clear that the causes of preterm labor are multifactorial and vary according to gestational age. Important common pathways leading to preterm birth include stress, systemic or maternal genital tract infections, placental ischemia or vascular lesions, and uterine overdistension. These pathways differ in their initiating factors and mediators, but ultimately, they share many common features that result in preterm uterine contractions and birth. Appropriate animal models have been very useful in describing the temporal events leading to preterm birth and the neonatal sequelae of prematurity, particularly in the setting of intrauterine infection. The use of animal models to answer specific questions related to prematurity and to describe the pathophysiological events associated with preterm birth will contribute to the development of rational and efficacious treatment and prevention strategies for preterm birth.","author":[{"dropping-particle":"","family":"Behrman","given":"Richard E.","non-dropping-particle":"","parse-names":false,"suffix":""},{"dropping-particle":"","family":"Butler","given":"Adrienne Stith","non-dropping-particle":"","parse-names":false,"suffix":""},{"dropping-particle":"","family":"Editors","given":"","non-dropping-particle":"","parse-names":false,"suffix":""}],"container-title":"Preterm birth: causes, consequences and prevention","id":"ITEM-2","issued":{"date-parts":[["2007"]]},"number-of-pages":"772","title":"Prematurity at birth: Determinants, consequences, and geographic variation","type":"book"},"uris":["http://www.mendeley.com/documents/?uuid=bbfe5f51-8112-48f2-a7c4-358cbba7df82"]}],"mendeley":{"formattedCitation":"(Behrman, Butler, &amp; Editors, 2007; Gogia &amp; Sachdev, 2016)","plainTextFormattedCitation":"(Behrman, Butler, &amp; Editors, 2007; Gogia &amp; Sachdev, 2016)","previouslyFormattedCitation":"(Behrman, Butler, &amp; Editors, 2007; Gogia &amp; Sachdev, 2016)"},"properties":{"noteIndex":0},"schema":"https://github.com/citation-style-language/schema/raw/master/csl-citation.json"}</w:instrText>
      </w:r>
      <w:r>
        <w:fldChar w:fldCharType="separate"/>
      </w:r>
      <w:r w:rsidRPr="00C45A46">
        <w:rPr>
          <w:noProof/>
        </w:rPr>
        <w:t>(Behrman, Butler, &amp; Editors, 2007; Gogia &amp; Sachdev, 2016)</w:t>
      </w:r>
      <w:r>
        <w:fldChar w:fldCharType="end"/>
      </w:r>
      <w:r>
        <w:t>.  On the other hand, the evidence-based recommendations will be developed and championed by the Leadership team of the health care organization.  As a result, we will have recommendations that will be evidence-based and designed taking in consideration the expertise on the community of the health care organization.</w:t>
      </w:r>
    </w:p>
    <w:p w14:paraId="149A5F70" w14:textId="77777777" w:rsidR="004A3DCA" w:rsidRDefault="004A3DCA" w:rsidP="004A3DCA">
      <w:r>
        <w:t xml:space="preserve">In the United States, the cost medical care of preterm births is around $16.9 billion dollars and $1.9 billion dollars for maternal delivery </w:t>
      </w:r>
      <w:r>
        <w:fldChar w:fldCharType="begin" w:fldLock="1"/>
      </w:r>
      <w:r>
        <w:instrText>ADDIN CSL_CITATION {"citationItems":[{"id":"ITEM-1","itemData":{"DOI":"10.1080/01443610802243047","ISBN":"9780309101592","ISSN":"0144-3615","PMID":"20669423","abstract":"Preterm birth has usually been treated as a single entity, for epidemiological and statistical purposes. This traditional empiric approach, however, presupposes a single pathologic process for which treatment could be uniform. This approach has met with only limited success in the treatment and prevention of preterm labor. It is now clear that the causes of preterm labor are multifactorial and vary according to gestational age. Important common pathways leading to preterm birth include stress, systemic or maternal genital tract infections, placental ischemia or vascular lesions, and uterine overdistension. These pathways differ in their initiating factors and mediators, but ultimately, they share many common features that result in preterm uterine contractions and birth. Appropriate animal models have been very useful in describing the temporal events leading to preterm birth and the neonatal sequelae of prematurity, particularly in the setting of intrauterine infection. The use of animal models to answer specific questions related to prematurity and to describe the pathophysiological events associated with preterm birth will contribute to the development of rational and efficacious treatment and prevention strategies for preterm birth.","author":[{"dropping-particle":"","family":"Behrman","given":"Richard E.","non-dropping-particle":"","parse-names":false,"suffix":""},{"dropping-particle":"","family":"Butler","given":"Adrienne Stith","non-dropping-particle":"","parse-names":false,"suffix":""},{"dropping-particle":"","family":"Editors","given":"","non-dropping-particle":"","parse-names":false,"suffix":""}],"container-title":"Preterm birth: causes, consequences and prevention","id":"ITEM-1","issued":{"date-parts":[["2007"]]},"number-of-pages":"772","title":"Prematurity at birth: Determinants, consequences, and geographic variation","type":"book"},"uris":["http://www.mendeley.com/documents/?uuid=bbfe5f51-8112-48f2-a7c4-358cbba7df82"]}],"mendeley":{"formattedCitation":"(Behrman et al., 2007)","plainTextFormattedCitation":"(Behrman et al., 2007)","previouslyFormattedCitation":"(Behrman et al., 2007)"},"properties":{"noteIndex":0},"schema":"https://github.com/citation-style-language/schema/raw/master/csl-citation.json"}</w:instrText>
      </w:r>
      <w:r>
        <w:fldChar w:fldCharType="separate"/>
      </w:r>
      <w:r w:rsidRPr="00C45A46">
        <w:rPr>
          <w:noProof/>
        </w:rPr>
        <w:t>(Behrman et al., 2007)</w:t>
      </w:r>
      <w:r>
        <w:fldChar w:fldCharType="end"/>
      </w:r>
      <w:r>
        <w:t xml:space="preserve">with life-long sequelae </w:t>
      </w:r>
      <w:bookmarkStart w:id="23" w:name="_Hlk7121985"/>
      <w:r>
        <w:fldChar w:fldCharType="begin" w:fldLock="1"/>
      </w:r>
      <w:r>
        <w:instrText>ADDIN CSL_CITATION {"citationItems":[{"id":"ITEM-1","itemData":{"DOI":"10.1016/j.annepidem.2016.02.012","ISBN":"0000000000","ISSN":"10472797","PMID":"28299348","author":[{"dropping-particle":"","family":"Schieve","given":"Laura A.","non-dropping-particle":"","parse-names":false,"suffix":""},{"dropping-particle":"","family":"Tian","given":"Lin H.","non-dropping-particle":"","parse-names":false,"suffix":""},{"dropping-particle":"","family":"Rankin","given":"Kristin","non-dropping-particle":"","parse-names":false,"suffix":""},{"dropping-particle":"","family":"Kogan","given":"Michael D.","non-dropping-particle":"","parse-names":false,"suffix":""},{"dropping-particle":"","family":"Yeargin-Allsopp","given":"Marshalyn","non-dropping-particle":"","parse-names":false,"suffix":""},{"dropping-particle":"","family":"Visser","given":"Susanna","non-dropping-particle":"","parse-names":false,"suffix":""},{"dropping-particle":"","family":"Rosenberg","given":"Deborah","non-dropping-particle":"","parse-names":false,"suffix":""}],"container-title":"Annals of Epidemiology","id":"ITEM-1","issue":"4","issued":{"date-parts":[["2016","4"]]},"page":"267-274","title":"Population impact of preterm birth and low birth weight on developmental disabilities in US children","type":"article-journal","volume":"26"},"uris":["http://www.mendeley.com/documents/?uuid=1d2a754a-04f0-4abb-a7fc-2583d72e56ba"]}],"mendeley":{"formattedCitation":"(Schieve et al., 2016)","plainTextFormattedCitation":"(Schieve et al., 2016)","previouslyFormattedCitation":"(Schieve et al., 2016)"},"properties":{"noteIndex":0},"schema":"https://github.com/citation-style-language/schema/raw/master/csl-citation.json"}</w:instrText>
      </w:r>
      <w:r>
        <w:fldChar w:fldCharType="separate"/>
      </w:r>
      <w:r w:rsidRPr="00CE77F8">
        <w:rPr>
          <w:noProof/>
        </w:rPr>
        <w:t>(Schieve et al., 2016)</w:t>
      </w:r>
      <w:r>
        <w:fldChar w:fldCharType="end"/>
      </w:r>
      <w:r>
        <w:t xml:space="preserve">.  Interventions, such as home visiting services assist in the </w:t>
      </w:r>
      <w:r>
        <w:lastRenderedPageBreak/>
        <w:t>identification and intervention on risk factors with low-cost interventions</w:t>
      </w:r>
      <w:bookmarkEnd w:id="23"/>
      <w:r>
        <w:t xml:space="preserve">, such as: motivational interviewing, counseling and goal setting.  </w:t>
      </w:r>
      <w:bookmarkStart w:id="24" w:name="_Hlk7122009"/>
      <w:r>
        <w:t xml:space="preserve">The data generated on these interventions can be synchronized on demand or continuously to a cloud repository for continuous analysis and results display.  As a result, </w:t>
      </w:r>
      <w:r w:rsidRPr="00643DFB">
        <w:rPr>
          <w:i/>
        </w:rPr>
        <w:t>Home Visiting Service and Framework</w:t>
      </w:r>
      <w:r>
        <w:rPr>
          <w:i/>
        </w:rPr>
        <w:t xml:space="preserve"> </w:t>
      </w:r>
      <w:r w:rsidRPr="00533EA7">
        <w:t>is a platform that can assist to</w:t>
      </w:r>
      <w:r>
        <w:t xml:space="preserve"> implement and</w:t>
      </w:r>
      <w:r w:rsidRPr="00533EA7">
        <w:t xml:space="preserve"> </w:t>
      </w:r>
      <w:r>
        <w:t>measure the impact of interventions on in</w:t>
      </w:r>
      <w:r w:rsidRPr="00533EA7">
        <w:t xml:space="preserve">fant </w:t>
      </w:r>
      <w:r>
        <w:t>mortality continuously</w:t>
      </w:r>
      <w:bookmarkEnd w:id="24"/>
      <w:r>
        <w:t>.</w:t>
      </w:r>
    </w:p>
    <w:p w14:paraId="014C1259" w14:textId="77777777" w:rsidR="004A3DCA" w:rsidRDefault="004A3DCA" w:rsidP="004A3DCA">
      <w:r w:rsidRPr="00643DFB">
        <w:rPr>
          <w:i/>
        </w:rPr>
        <w:t>Home Visiting Service and Framework</w:t>
      </w:r>
      <w:r>
        <w:rPr>
          <w:i/>
        </w:rPr>
        <w:t xml:space="preserve"> </w:t>
      </w:r>
      <w:r w:rsidRPr="00533EA7">
        <w:t>is a platform</w:t>
      </w:r>
      <w:r>
        <w:t xml:space="preserve"> that will be constantly monitored for usage and errors.  This monitoring will serve as a tool for continuous improvement of the platform and detect new possible use case scenarios.  In addition, there will be a continuous cycle for feedback retrieval from stakeholders, such as, Clinical Services and Community Health Workers.  The source of the feedback will include a </w:t>
      </w:r>
      <w:r w:rsidRPr="00413FEB">
        <w:rPr>
          <w:i/>
        </w:rPr>
        <w:t>report an issue</w:t>
      </w:r>
      <w:r>
        <w:t xml:space="preserve"> section in all the applications, an available mail account, and a chat bot service.  All of the issues will be collected and discussed with the development team in order to assign feasibility and inclusion on the roadmap.</w:t>
      </w:r>
    </w:p>
    <w:p w14:paraId="6BFC1F2A" w14:textId="721351E6" w:rsidR="004A3DCA" w:rsidRDefault="004A3DCA" w:rsidP="004A3DCA">
      <w:r w:rsidRPr="00643DFB">
        <w:rPr>
          <w:i/>
        </w:rPr>
        <w:t>Home Visiting Service and Framework</w:t>
      </w:r>
      <w:r>
        <w:rPr>
          <w:i/>
        </w:rPr>
        <w:t xml:space="preserve"> </w:t>
      </w:r>
      <w:r>
        <w:t>platform will take in account two types of key performance indicators: clinical and technical.  Clinical key performance indicators will help to measure, review and assess the interventions performed to reduce risks related to infant mortality rate.  The key performance indicators considered at this stage are: all neonatal deaths and neonatal deaths on patients that received intervention.  Secondary performance indicators will include: perinatal mortality rate; cause specific mortality including deaths due to maternal sepsis, tetanus, asphyxia and prematurity; and, direct costs related to low gestational weight.  On the other hand, technical performance indicators will collect telemetry data from the platform usage and detected errors.  These data will be collected with the purpose of understanding the patterns of usage of the platform, billing, error correction, error prevention, and error prediction.</w:t>
      </w:r>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14:paraId="1D6906AD" w14:textId="08530410" w:rsidR="00E81978" w:rsidRPr="005F53A1" w:rsidRDefault="005D3A03" w:rsidP="006375FF">
          <w:pPr>
            <w:pStyle w:val="SectionTitle"/>
          </w:pPr>
          <w:r>
            <w:t>References</w:t>
          </w:r>
        </w:p>
      </w:sdtContent>
    </w:sdt>
    <w:p w14:paraId="268130D2" w14:textId="63813E1A"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7B31F0">
        <w:rPr>
          <w:rFonts w:ascii="Times New Roman" w:hAnsi="Times New Roman" w:cs="Times New Roman"/>
          <w:noProof/>
        </w:rPr>
        <w:t xml:space="preserve">Behrman, R. E., Butler, A. S., &amp; Editors. (2007). </w:t>
      </w:r>
      <w:r w:rsidRPr="007B31F0">
        <w:rPr>
          <w:rFonts w:ascii="Times New Roman" w:hAnsi="Times New Roman" w:cs="Times New Roman"/>
          <w:i/>
          <w:iCs/>
          <w:noProof/>
        </w:rPr>
        <w:t>Prematurity at birth: Determinants, consequences, and geographic variation</w:t>
      </w:r>
      <w:r w:rsidRPr="007B31F0">
        <w:rPr>
          <w:rFonts w:ascii="Times New Roman" w:hAnsi="Times New Roman" w:cs="Times New Roman"/>
          <w:noProof/>
        </w:rPr>
        <w:t xml:space="preserve">. </w:t>
      </w:r>
      <w:r w:rsidRPr="007B31F0">
        <w:rPr>
          <w:rFonts w:ascii="Times New Roman" w:hAnsi="Times New Roman" w:cs="Times New Roman"/>
          <w:i/>
          <w:iCs/>
          <w:noProof/>
        </w:rPr>
        <w:t>Preterm birth: causes, consequences and prevention</w:t>
      </w:r>
      <w:r w:rsidRPr="007B31F0">
        <w:rPr>
          <w:rFonts w:ascii="Times New Roman" w:hAnsi="Times New Roman" w:cs="Times New Roman"/>
          <w:noProof/>
        </w:rPr>
        <w:t>. https://doi.org/10.1080/01443610802243047</w:t>
      </w:r>
    </w:p>
    <w:p w14:paraId="453AA8BA"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Bowles, M., &amp; Pty, F. (2009). Implementing successful transformational leadership competency development in healthcare. </w:t>
      </w:r>
      <w:r w:rsidRPr="007B31F0">
        <w:rPr>
          <w:rFonts w:ascii="Times New Roman" w:hAnsi="Times New Roman" w:cs="Times New Roman"/>
          <w:i/>
          <w:iCs/>
          <w:noProof/>
        </w:rPr>
        <w:t>Futures</w:t>
      </w:r>
      <w:r w:rsidRPr="007B31F0">
        <w:rPr>
          <w:rFonts w:ascii="Times New Roman" w:hAnsi="Times New Roman" w:cs="Times New Roman"/>
          <w:noProof/>
        </w:rPr>
        <w:t>.</w:t>
      </w:r>
    </w:p>
    <w:p w14:paraId="7667C980"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Cleverley, W. O. (2018). Financial Environment of Health Care Organizations. In </w:t>
      </w:r>
      <w:r w:rsidRPr="007B31F0">
        <w:rPr>
          <w:rFonts w:ascii="Times New Roman" w:hAnsi="Times New Roman" w:cs="Times New Roman"/>
          <w:i/>
          <w:iCs/>
          <w:noProof/>
        </w:rPr>
        <w:t>Essentials of Health Care Finance</w:t>
      </w:r>
      <w:r w:rsidRPr="007B31F0">
        <w:rPr>
          <w:rFonts w:ascii="Times New Roman" w:hAnsi="Times New Roman" w:cs="Times New Roman"/>
          <w:noProof/>
        </w:rPr>
        <w:t xml:space="preserve"> (5th ed., pp. 31–56). Burlington, MA: Jones &amp; Bartlett Learning.</w:t>
      </w:r>
    </w:p>
    <w:p w14:paraId="06AA1CDA"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Deloitte. (2019). 2019 Global Health Care outlook: Shaping the Future, 41. Retrieved from https://www2.deloitte.com/content/dam/Deloitte/global/Documents/Life-Sciences-Health-Care/gx-lshc-2016-health-care-outlook.pdf%5Cnhttp://www.deloitte.com/healthcareoutlook.</w:t>
      </w:r>
    </w:p>
    <w:p w14:paraId="472199A8"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Gogia, S., &amp; Sachdev, H. P. S. (2016). Home-based neonatal care by community health workers for preventing mortality in neonates in low- and middle-income countries: A systematic review. </w:t>
      </w:r>
      <w:r w:rsidRPr="007B31F0">
        <w:rPr>
          <w:rFonts w:ascii="Times New Roman" w:hAnsi="Times New Roman" w:cs="Times New Roman"/>
          <w:i/>
          <w:iCs/>
          <w:noProof/>
        </w:rPr>
        <w:t>Journal of Perinatology</w:t>
      </w:r>
      <w:r w:rsidRPr="007B31F0">
        <w:rPr>
          <w:rFonts w:ascii="Times New Roman" w:hAnsi="Times New Roman" w:cs="Times New Roman"/>
          <w:noProof/>
        </w:rPr>
        <w:t xml:space="preserve">, </w:t>
      </w:r>
      <w:r w:rsidRPr="007B31F0">
        <w:rPr>
          <w:rFonts w:ascii="Times New Roman" w:hAnsi="Times New Roman" w:cs="Times New Roman"/>
          <w:i/>
          <w:iCs/>
          <w:noProof/>
        </w:rPr>
        <w:t>36</w:t>
      </w:r>
      <w:r w:rsidRPr="007B31F0">
        <w:rPr>
          <w:rFonts w:ascii="Times New Roman" w:hAnsi="Times New Roman" w:cs="Times New Roman"/>
          <w:noProof/>
        </w:rPr>
        <w:t>(S1), S54–S72. https://doi.org/10.1038/jp.2016.33</w:t>
      </w:r>
    </w:p>
    <w:p w14:paraId="6F10A04A"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Hegyi, T., Teitler, J. O., Reichman, N. E., Ostfeld, B. M., &amp; Schwartz-Soicher, O. (2017). Prematurity and Sudden Unexpected Infant Deaths in the United States. </w:t>
      </w:r>
      <w:r w:rsidRPr="007B31F0">
        <w:rPr>
          <w:rFonts w:ascii="Times New Roman" w:hAnsi="Times New Roman" w:cs="Times New Roman"/>
          <w:i/>
          <w:iCs/>
          <w:noProof/>
        </w:rPr>
        <w:t>Pediatrics</w:t>
      </w:r>
      <w:r w:rsidRPr="007B31F0">
        <w:rPr>
          <w:rFonts w:ascii="Times New Roman" w:hAnsi="Times New Roman" w:cs="Times New Roman"/>
          <w:noProof/>
        </w:rPr>
        <w:t xml:space="preserve">, </w:t>
      </w:r>
      <w:r w:rsidRPr="007B31F0">
        <w:rPr>
          <w:rFonts w:ascii="Times New Roman" w:hAnsi="Times New Roman" w:cs="Times New Roman"/>
          <w:i/>
          <w:iCs/>
          <w:noProof/>
        </w:rPr>
        <w:t>140</w:t>
      </w:r>
      <w:r w:rsidRPr="007B31F0">
        <w:rPr>
          <w:rFonts w:ascii="Times New Roman" w:hAnsi="Times New Roman" w:cs="Times New Roman"/>
          <w:noProof/>
        </w:rPr>
        <w:t>(1), e20163334. https://doi.org/10.1542/peds.2016-3334</w:t>
      </w:r>
    </w:p>
    <w:p w14:paraId="6BE2240D"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Hirai, A. H., Sappenfield, W. M., Kogan, M. D., Barfield, W. D., Goodman, D. A., Ghandour, R. M., &amp; Lu, M. C. (2014). Contributors to excess infant mortality in the U.S. South. </w:t>
      </w:r>
      <w:r w:rsidRPr="007B31F0">
        <w:rPr>
          <w:rFonts w:ascii="Times New Roman" w:hAnsi="Times New Roman" w:cs="Times New Roman"/>
          <w:i/>
          <w:iCs/>
          <w:noProof/>
        </w:rPr>
        <w:t>American Journal of Preventive Medicine</w:t>
      </w:r>
      <w:r w:rsidRPr="007B31F0">
        <w:rPr>
          <w:rFonts w:ascii="Times New Roman" w:hAnsi="Times New Roman" w:cs="Times New Roman"/>
          <w:noProof/>
        </w:rPr>
        <w:t xml:space="preserve">, </w:t>
      </w:r>
      <w:r w:rsidRPr="007B31F0">
        <w:rPr>
          <w:rFonts w:ascii="Times New Roman" w:hAnsi="Times New Roman" w:cs="Times New Roman"/>
          <w:i/>
          <w:iCs/>
          <w:noProof/>
        </w:rPr>
        <w:t>46</w:t>
      </w:r>
      <w:r w:rsidRPr="007B31F0">
        <w:rPr>
          <w:rFonts w:ascii="Times New Roman" w:hAnsi="Times New Roman" w:cs="Times New Roman"/>
          <w:noProof/>
        </w:rPr>
        <w:t>(3), 219–227. https://doi.org/10.1016/j.amepre.2013.12.006</w:t>
      </w:r>
    </w:p>
    <w:p w14:paraId="5D8DF996"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Kominiarek, M. A., &amp; Peaceman, A. M. (2017). Gestational weight gain. </w:t>
      </w:r>
      <w:r w:rsidRPr="007B31F0">
        <w:rPr>
          <w:rFonts w:ascii="Times New Roman" w:hAnsi="Times New Roman" w:cs="Times New Roman"/>
          <w:i/>
          <w:iCs/>
          <w:noProof/>
        </w:rPr>
        <w:t xml:space="preserve">American Journal of </w:t>
      </w:r>
      <w:r w:rsidRPr="007B31F0">
        <w:rPr>
          <w:rFonts w:ascii="Times New Roman" w:hAnsi="Times New Roman" w:cs="Times New Roman"/>
          <w:i/>
          <w:iCs/>
          <w:noProof/>
        </w:rPr>
        <w:lastRenderedPageBreak/>
        <w:t>Obstetrics and Gynecology</w:t>
      </w:r>
      <w:r w:rsidRPr="007B31F0">
        <w:rPr>
          <w:rFonts w:ascii="Times New Roman" w:hAnsi="Times New Roman" w:cs="Times New Roman"/>
          <w:noProof/>
        </w:rPr>
        <w:t xml:space="preserve">, </w:t>
      </w:r>
      <w:r w:rsidRPr="007B31F0">
        <w:rPr>
          <w:rFonts w:ascii="Times New Roman" w:hAnsi="Times New Roman" w:cs="Times New Roman"/>
          <w:i/>
          <w:iCs/>
          <w:noProof/>
        </w:rPr>
        <w:t>217</w:t>
      </w:r>
      <w:r w:rsidRPr="007B31F0">
        <w:rPr>
          <w:rFonts w:ascii="Times New Roman" w:hAnsi="Times New Roman" w:cs="Times New Roman"/>
          <w:noProof/>
        </w:rPr>
        <w:t>(6), 642–651. https://doi.org/10.1016/j.ajog.2017.05.040</w:t>
      </w:r>
    </w:p>
    <w:p w14:paraId="2AACDADE"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Manchikanti, L., Helm Ii, S., Benyamin, R. M., &amp; Hirsch, J. A. (2017). Evolution of US Health Care Reform. </w:t>
      </w:r>
      <w:r w:rsidRPr="007B31F0">
        <w:rPr>
          <w:rFonts w:ascii="Times New Roman" w:hAnsi="Times New Roman" w:cs="Times New Roman"/>
          <w:i/>
          <w:iCs/>
          <w:noProof/>
        </w:rPr>
        <w:t>Pain Physician</w:t>
      </w:r>
      <w:r w:rsidRPr="007B31F0">
        <w:rPr>
          <w:rFonts w:ascii="Times New Roman" w:hAnsi="Times New Roman" w:cs="Times New Roman"/>
          <w:noProof/>
        </w:rPr>
        <w:t xml:space="preserve">, </w:t>
      </w:r>
      <w:r w:rsidRPr="007B31F0">
        <w:rPr>
          <w:rFonts w:ascii="Times New Roman" w:hAnsi="Times New Roman" w:cs="Times New Roman"/>
          <w:i/>
          <w:iCs/>
          <w:noProof/>
        </w:rPr>
        <w:t>20</w:t>
      </w:r>
      <w:r w:rsidRPr="007B31F0">
        <w:rPr>
          <w:rFonts w:ascii="Times New Roman" w:hAnsi="Times New Roman" w:cs="Times New Roman"/>
          <w:noProof/>
        </w:rPr>
        <w:t>(3), 107–110. Retrieved from http://www.ncbi.nlm.nih.gov/pubmed/28339426</w:t>
      </w:r>
    </w:p>
    <w:p w14:paraId="4455354A"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Olaniran, A., Smith, H., Unkels, R., Bar-Zeev, S., &amp; van den Broek, N. (2017). Who is a community health worker? - A systematic review of definitions. </w:t>
      </w:r>
      <w:r w:rsidRPr="007B31F0">
        <w:rPr>
          <w:rFonts w:ascii="Times New Roman" w:hAnsi="Times New Roman" w:cs="Times New Roman"/>
          <w:i/>
          <w:iCs/>
          <w:noProof/>
        </w:rPr>
        <w:t>Global Health Action</w:t>
      </w:r>
      <w:r w:rsidRPr="007B31F0">
        <w:rPr>
          <w:rFonts w:ascii="Times New Roman" w:hAnsi="Times New Roman" w:cs="Times New Roman"/>
          <w:noProof/>
        </w:rPr>
        <w:t xml:space="preserve">, </w:t>
      </w:r>
      <w:r w:rsidRPr="007B31F0">
        <w:rPr>
          <w:rFonts w:ascii="Times New Roman" w:hAnsi="Times New Roman" w:cs="Times New Roman"/>
          <w:i/>
          <w:iCs/>
          <w:noProof/>
        </w:rPr>
        <w:t>10</w:t>
      </w:r>
      <w:r w:rsidRPr="007B31F0">
        <w:rPr>
          <w:rFonts w:ascii="Times New Roman" w:hAnsi="Times New Roman" w:cs="Times New Roman"/>
          <w:noProof/>
        </w:rPr>
        <w:t>(1). https://doi.org/10.1080/16549716.2017.1272223</w:t>
      </w:r>
    </w:p>
    <w:p w14:paraId="13EA2C08"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Park, M. S., Sriram, S., Park, C.-G., Lee, K.-S., Kim, D.-H., &amp; Jeon, J. (2019). Optimal birth weight and term mortality risk differ among different ethnic groups in the U.S. </w:t>
      </w:r>
      <w:r w:rsidRPr="007B31F0">
        <w:rPr>
          <w:rFonts w:ascii="Times New Roman" w:hAnsi="Times New Roman" w:cs="Times New Roman"/>
          <w:i/>
          <w:iCs/>
          <w:noProof/>
        </w:rPr>
        <w:t>Scientific Reports</w:t>
      </w:r>
      <w:r w:rsidRPr="007B31F0">
        <w:rPr>
          <w:rFonts w:ascii="Times New Roman" w:hAnsi="Times New Roman" w:cs="Times New Roman"/>
          <w:noProof/>
        </w:rPr>
        <w:t xml:space="preserve">, </w:t>
      </w:r>
      <w:r w:rsidRPr="007B31F0">
        <w:rPr>
          <w:rFonts w:ascii="Times New Roman" w:hAnsi="Times New Roman" w:cs="Times New Roman"/>
          <w:i/>
          <w:iCs/>
          <w:noProof/>
        </w:rPr>
        <w:t>9</w:t>
      </w:r>
      <w:r w:rsidRPr="007B31F0">
        <w:rPr>
          <w:rFonts w:ascii="Times New Roman" w:hAnsi="Times New Roman" w:cs="Times New Roman"/>
          <w:noProof/>
        </w:rPr>
        <w:t>(1), 1–5. https://doi.org/10.1038/s41598-019-38583-x</w:t>
      </w:r>
    </w:p>
    <w:p w14:paraId="19A7E1B6"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Redding, S., Conrey, E., Porter, K., Paulson, J., Hughes, K., &amp; Redding, M. (2015). Pathways Community Care Coordination in Low Birth Weight Prevention. </w:t>
      </w:r>
      <w:r w:rsidRPr="007B31F0">
        <w:rPr>
          <w:rFonts w:ascii="Times New Roman" w:hAnsi="Times New Roman" w:cs="Times New Roman"/>
          <w:i/>
          <w:iCs/>
          <w:noProof/>
        </w:rPr>
        <w:t>Maternal and Child Health Journal</w:t>
      </w:r>
      <w:r w:rsidRPr="007B31F0">
        <w:rPr>
          <w:rFonts w:ascii="Times New Roman" w:hAnsi="Times New Roman" w:cs="Times New Roman"/>
          <w:noProof/>
        </w:rPr>
        <w:t xml:space="preserve">, </w:t>
      </w:r>
      <w:r w:rsidRPr="007B31F0">
        <w:rPr>
          <w:rFonts w:ascii="Times New Roman" w:hAnsi="Times New Roman" w:cs="Times New Roman"/>
          <w:i/>
          <w:iCs/>
          <w:noProof/>
        </w:rPr>
        <w:t>19</w:t>
      </w:r>
      <w:r w:rsidRPr="007B31F0">
        <w:rPr>
          <w:rFonts w:ascii="Times New Roman" w:hAnsi="Times New Roman" w:cs="Times New Roman"/>
          <w:noProof/>
        </w:rPr>
        <w:t>(3), 643–650. https://doi.org/10.1007/s10995-014-1554-4</w:t>
      </w:r>
    </w:p>
    <w:p w14:paraId="588ABC70"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Schieve, L. A., Tian, L. H., Rankin, K., Kogan, M. D., Yeargin-Allsopp, M., Visser, S., &amp; Rosenberg, D. (2016). Population impact of preterm birth and low birth weight on developmental disabilities in US children. </w:t>
      </w:r>
      <w:r w:rsidRPr="007B31F0">
        <w:rPr>
          <w:rFonts w:ascii="Times New Roman" w:hAnsi="Times New Roman" w:cs="Times New Roman"/>
          <w:i/>
          <w:iCs/>
          <w:noProof/>
        </w:rPr>
        <w:t>Annals of Epidemiology</w:t>
      </w:r>
      <w:r w:rsidRPr="007B31F0">
        <w:rPr>
          <w:rFonts w:ascii="Times New Roman" w:hAnsi="Times New Roman" w:cs="Times New Roman"/>
          <w:noProof/>
        </w:rPr>
        <w:t xml:space="preserve">, </w:t>
      </w:r>
      <w:r w:rsidRPr="007B31F0">
        <w:rPr>
          <w:rFonts w:ascii="Times New Roman" w:hAnsi="Times New Roman" w:cs="Times New Roman"/>
          <w:i/>
          <w:iCs/>
          <w:noProof/>
        </w:rPr>
        <w:t>26</w:t>
      </w:r>
      <w:r w:rsidRPr="007B31F0">
        <w:rPr>
          <w:rFonts w:ascii="Times New Roman" w:hAnsi="Times New Roman" w:cs="Times New Roman"/>
          <w:noProof/>
        </w:rPr>
        <w:t>(4), 267–274. https://doi.org/10.1016/j.annepidem.2016.02.012</w:t>
      </w:r>
    </w:p>
    <w:p w14:paraId="5D6BECCD"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 xml:space="preserve">Turner, J., Broom, K., Elliott, M., &amp; Lee, J.-F. (2015). A Decomposition of Hospital Profitability. </w:t>
      </w:r>
      <w:r w:rsidRPr="007B31F0">
        <w:rPr>
          <w:rFonts w:ascii="Times New Roman" w:hAnsi="Times New Roman" w:cs="Times New Roman"/>
          <w:i/>
          <w:iCs/>
          <w:noProof/>
        </w:rPr>
        <w:t>Health Services Research and Managerial Epidemiology</w:t>
      </w:r>
      <w:r w:rsidRPr="007B31F0">
        <w:rPr>
          <w:rFonts w:ascii="Times New Roman" w:hAnsi="Times New Roman" w:cs="Times New Roman"/>
          <w:noProof/>
        </w:rPr>
        <w:t xml:space="preserve">, </w:t>
      </w:r>
      <w:r w:rsidRPr="007B31F0">
        <w:rPr>
          <w:rFonts w:ascii="Times New Roman" w:hAnsi="Times New Roman" w:cs="Times New Roman"/>
          <w:i/>
          <w:iCs/>
          <w:noProof/>
        </w:rPr>
        <w:t>2</w:t>
      </w:r>
      <w:r w:rsidRPr="007B31F0">
        <w:rPr>
          <w:rFonts w:ascii="Times New Roman" w:hAnsi="Times New Roman" w:cs="Times New Roman"/>
          <w:noProof/>
        </w:rPr>
        <w:t>, 233339281559039. https://doi.org/10.1177/2333392815590397</w:t>
      </w:r>
    </w:p>
    <w:p w14:paraId="106865B1"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U.S. Bureau of Labor Statistics. (2012). U . S . Bureau of Labor Statistics Occupational Employment Statistics Occupational Employment and Wages , May 2012 39-9011 Childcare Workers. Retrieved from https://www.bls.gov/oes/current/oes211094.htm</w:t>
      </w:r>
    </w:p>
    <w:p w14:paraId="1011FC63"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lastRenderedPageBreak/>
        <w:t>United States-Mexico Border Health Commission. (2015). Healthy border 2020: A. Retrieved from www.borderhealth.org</w:t>
      </w:r>
    </w:p>
    <w:p w14:paraId="1D0C2793"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34673A">
        <w:rPr>
          <w:rFonts w:ascii="Times New Roman" w:hAnsi="Times New Roman" w:cs="Times New Roman"/>
          <w:noProof/>
          <w:lang w:val="es-MX"/>
        </w:rPr>
        <w:t xml:space="preserve">Vega, A. D., Meola, P. P., Barcelo, R. J., Ruiz, H. M. P., Oh, S. A., &amp; Oh, T. (2016). </w:t>
      </w:r>
      <w:r w:rsidRPr="007B31F0">
        <w:rPr>
          <w:rFonts w:ascii="Times New Roman" w:hAnsi="Times New Roman" w:cs="Times New Roman"/>
          <w:noProof/>
        </w:rPr>
        <w:t xml:space="preserve">Commentary on Current Trends in Rising Drug Costs and Reimbursement Below Cost. </w:t>
      </w:r>
      <w:r w:rsidRPr="007B31F0">
        <w:rPr>
          <w:rFonts w:ascii="Times New Roman" w:hAnsi="Times New Roman" w:cs="Times New Roman"/>
          <w:i/>
          <w:iCs/>
          <w:noProof/>
        </w:rPr>
        <w:t>Managed Care (Langhorne, Pa.)</w:t>
      </w:r>
      <w:r w:rsidRPr="007B31F0">
        <w:rPr>
          <w:rFonts w:ascii="Times New Roman" w:hAnsi="Times New Roman" w:cs="Times New Roman"/>
          <w:noProof/>
        </w:rPr>
        <w:t xml:space="preserve">, </w:t>
      </w:r>
      <w:r w:rsidRPr="007B31F0">
        <w:rPr>
          <w:rFonts w:ascii="Times New Roman" w:hAnsi="Times New Roman" w:cs="Times New Roman"/>
          <w:i/>
          <w:iCs/>
          <w:noProof/>
        </w:rPr>
        <w:t>25</w:t>
      </w:r>
      <w:r w:rsidRPr="007B31F0">
        <w:rPr>
          <w:rFonts w:ascii="Times New Roman" w:hAnsi="Times New Roman" w:cs="Times New Roman"/>
          <w:noProof/>
        </w:rPr>
        <w:t>(4), 41–49. Retrieved from http://www.ncbi.nlm.nih.gov/pubmed/27265971</w:t>
      </w:r>
    </w:p>
    <w:p w14:paraId="7657026C" w14:textId="77777777" w:rsidR="007B31F0" w:rsidRPr="007B31F0" w:rsidRDefault="007B31F0" w:rsidP="007B31F0">
      <w:pPr>
        <w:widowControl w:val="0"/>
        <w:autoSpaceDE w:val="0"/>
        <w:autoSpaceDN w:val="0"/>
        <w:adjustRightInd w:val="0"/>
        <w:ind w:left="480" w:hanging="480"/>
        <w:rPr>
          <w:rFonts w:ascii="Times New Roman" w:hAnsi="Times New Roman" w:cs="Times New Roman"/>
          <w:noProof/>
        </w:rPr>
      </w:pPr>
      <w:r w:rsidRPr="007B31F0">
        <w:rPr>
          <w:rFonts w:ascii="Times New Roman" w:hAnsi="Times New Roman" w:cs="Times New Roman"/>
          <w:noProof/>
        </w:rPr>
        <w:t>WHO. (2007). Community health workers : Policy brief, (January).</w:t>
      </w:r>
    </w:p>
    <w:p w14:paraId="73CF91C8" w14:textId="77777777" w:rsidR="006375FF" w:rsidRDefault="007B31F0" w:rsidP="006375FF">
      <w:pPr>
        <w:pStyle w:val="Bibliography"/>
        <w:rPr>
          <w:noProof/>
        </w:rPr>
      </w:pPr>
      <w:r>
        <w:fldChar w:fldCharType="end"/>
      </w:r>
      <w:r w:rsidR="006375FF">
        <w:fldChar w:fldCharType="begin"/>
      </w:r>
      <w:r w:rsidR="006375FF" w:rsidRPr="006375FF">
        <w:instrText xml:space="preserve"> BIBLIOGRAPHY </w:instrText>
      </w:r>
      <w:r w:rsidR="006375FF">
        <w:fldChar w:fldCharType="separate"/>
      </w:r>
      <w:r w:rsidR="006375FF">
        <w:rPr>
          <w:noProof/>
        </w:rPr>
        <w:t xml:space="preserve">Young, K., &amp; Kroth, P. (2018). Benchmark Developments in U.S. Health Care. In K. Young, &amp; P. Kroth, </w:t>
      </w:r>
      <w:r w:rsidR="006375FF">
        <w:rPr>
          <w:i/>
          <w:iCs/>
          <w:noProof/>
        </w:rPr>
        <w:t>Sultz &amp; Young's Health Care USA</w:t>
      </w:r>
      <w:r w:rsidR="006375FF">
        <w:rPr>
          <w:noProof/>
        </w:rPr>
        <w:t xml:space="preserve"> (pp. 23-44). Burlington, MA, USA: Jones &amp; Bartlett Learning.</w:t>
      </w:r>
    </w:p>
    <w:p w14:paraId="7D1899CB" w14:textId="77777777" w:rsidR="006375FF" w:rsidRDefault="006375FF" w:rsidP="006375FF">
      <w:pPr>
        <w:pStyle w:val="Bibliography"/>
        <w:rPr>
          <w:noProof/>
        </w:rPr>
      </w:pPr>
      <w:r>
        <w:rPr>
          <w:noProof/>
        </w:rPr>
        <w:t xml:space="preserve">Young, K., &amp; Kroth, P. (2018). Public health and the role of government in health care. In K. Young, &amp; P. Kroth, </w:t>
      </w:r>
      <w:r>
        <w:rPr>
          <w:i/>
          <w:iCs/>
          <w:noProof/>
        </w:rPr>
        <w:t>Sultz &amp; Young's Health care USA</w:t>
      </w:r>
      <w:r>
        <w:rPr>
          <w:noProof/>
        </w:rPr>
        <w:t xml:space="preserve"> (pp. 301-47). Burlington: Jones &amp; Bartlett Learning.</w:t>
      </w:r>
    </w:p>
    <w:p w14:paraId="5162D9B1" w14:textId="33D0EF91" w:rsidR="00E81978" w:rsidRDefault="006375FF" w:rsidP="006375FF">
      <w:r>
        <w:rPr>
          <w:b/>
          <w:bCs/>
          <w:noProof/>
        </w:rPr>
        <w:fldChar w:fldCharType="end"/>
      </w:r>
    </w:p>
    <w:p w14:paraId="50C14E06" w14:textId="77777777" w:rsidR="00853D81" w:rsidRDefault="00853D81" w:rsidP="00853D81">
      <w:pPr>
        <w:pStyle w:val="SectionTitle"/>
      </w:pPr>
      <w:r>
        <w:lastRenderedPageBreak/>
        <w:t>Tables</w:t>
      </w:r>
    </w:p>
    <w:p w14:paraId="22DB132C" w14:textId="3B643D00" w:rsidR="00853D81" w:rsidRDefault="00853D81" w:rsidP="00853D81">
      <w:pPr>
        <w:pStyle w:val="Caption"/>
        <w:keepNext/>
      </w:pPr>
      <w:bookmarkStart w:id="25" w:name="_Ref4359889"/>
      <w:r>
        <w:t xml:space="preserve">Table </w:t>
      </w:r>
      <w:r w:rsidR="00447885">
        <w:fldChar w:fldCharType="begin"/>
      </w:r>
      <w:r w:rsidR="00447885">
        <w:instrText xml:space="preserve"> SEQ Table \* ARABIC </w:instrText>
      </w:r>
      <w:r w:rsidR="00447885">
        <w:fldChar w:fldCharType="separate"/>
      </w:r>
      <w:r w:rsidR="005565B6">
        <w:rPr>
          <w:noProof/>
        </w:rPr>
        <w:t>1</w:t>
      </w:r>
      <w:r w:rsidR="00447885">
        <w:rPr>
          <w:noProof/>
        </w:rPr>
        <w:fldChar w:fldCharType="end"/>
      </w:r>
      <w:bookmarkEnd w:id="25"/>
      <w:r>
        <w:t>.  Competitive Analysis of Home Visiting Service</w:t>
      </w:r>
    </w:p>
    <w:tbl>
      <w:tblPr>
        <w:tblW w:w="9350" w:type="dxa"/>
        <w:tblLook w:val="04A0" w:firstRow="1" w:lastRow="0" w:firstColumn="1" w:lastColumn="0" w:noHBand="0" w:noVBand="1"/>
      </w:tblPr>
      <w:tblGrid>
        <w:gridCol w:w="2510"/>
        <w:gridCol w:w="1597"/>
        <w:gridCol w:w="1733"/>
        <w:gridCol w:w="1440"/>
        <w:gridCol w:w="2070"/>
      </w:tblGrid>
      <w:tr w:rsidR="00853D81" w:rsidRPr="008322A6" w14:paraId="1B61CFF5" w14:textId="77777777" w:rsidTr="00F83A33">
        <w:trPr>
          <w:trHeight w:val="1002"/>
        </w:trPr>
        <w:tc>
          <w:tcPr>
            <w:tcW w:w="9350" w:type="dxa"/>
            <w:gridSpan w:val="5"/>
            <w:tcBorders>
              <w:top w:val="single" w:sz="8" w:space="0" w:color="404040"/>
              <w:left w:val="single" w:sz="8" w:space="0" w:color="404040"/>
              <w:bottom w:val="single" w:sz="8" w:space="0" w:color="404040"/>
              <w:right w:val="single" w:sz="8" w:space="0" w:color="404040"/>
            </w:tcBorders>
            <w:shd w:val="clear" w:color="auto" w:fill="auto"/>
            <w:noWrap/>
            <w:vAlign w:val="center"/>
            <w:hideMark/>
          </w:tcPr>
          <w:p w14:paraId="497B5467" w14:textId="77777777" w:rsidR="00853D81" w:rsidRPr="008322A6" w:rsidRDefault="00853D81" w:rsidP="00F83A33">
            <w:pPr>
              <w:spacing w:line="240" w:lineRule="auto"/>
              <w:ind w:firstLineChars="100" w:firstLine="321"/>
              <w:rPr>
                <w:rFonts w:ascii="Calibri" w:eastAsia="Times New Roman" w:hAnsi="Calibri" w:cs="Calibri"/>
                <w:b/>
                <w:bCs/>
                <w:color w:val="404040"/>
                <w:kern w:val="0"/>
                <w:sz w:val="32"/>
                <w:szCs w:val="32"/>
                <w:lang w:eastAsia="en-US"/>
              </w:rPr>
            </w:pPr>
            <w:r w:rsidRPr="008322A6">
              <w:rPr>
                <w:rFonts w:ascii="Calibri" w:eastAsia="Times New Roman" w:hAnsi="Calibri" w:cs="Calibri"/>
                <w:b/>
                <w:bCs/>
                <w:color w:val="404040"/>
                <w:kern w:val="0"/>
                <w:sz w:val="32"/>
                <w:szCs w:val="32"/>
                <w:lang w:eastAsia="en-US"/>
              </w:rPr>
              <w:t>Competitive Analysis</w:t>
            </w:r>
          </w:p>
        </w:tc>
      </w:tr>
      <w:tr w:rsidR="00853D81" w:rsidRPr="008322A6" w14:paraId="595AB940" w14:textId="77777777" w:rsidTr="00F83A33">
        <w:trPr>
          <w:trHeight w:val="615"/>
        </w:trPr>
        <w:tc>
          <w:tcPr>
            <w:tcW w:w="2510" w:type="dxa"/>
            <w:tcBorders>
              <w:top w:val="nil"/>
              <w:left w:val="single" w:sz="8" w:space="0" w:color="404040"/>
              <w:bottom w:val="single" w:sz="8" w:space="0" w:color="404040"/>
              <w:right w:val="single" w:sz="4" w:space="0" w:color="595959"/>
            </w:tcBorders>
            <w:shd w:val="clear" w:color="auto" w:fill="auto"/>
            <w:noWrap/>
            <w:vAlign w:val="center"/>
            <w:hideMark/>
          </w:tcPr>
          <w:p w14:paraId="1273A9FF" w14:textId="77777777" w:rsidR="00853D81" w:rsidRPr="008322A6" w:rsidRDefault="00853D81" w:rsidP="00F83A33">
            <w:pPr>
              <w:spacing w:line="240" w:lineRule="auto"/>
              <w:ind w:firstLineChars="100" w:firstLine="221"/>
              <w:rPr>
                <w:rFonts w:ascii="Calibri" w:eastAsia="Times New Roman" w:hAnsi="Calibri" w:cs="Calibri"/>
                <w:b/>
                <w:bCs/>
                <w:color w:val="404040"/>
                <w:kern w:val="0"/>
                <w:sz w:val="22"/>
                <w:szCs w:val="22"/>
                <w:lang w:eastAsia="en-US"/>
              </w:rPr>
            </w:pPr>
            <w:bookmarkStart w:id="26" w:name="RANGE!B3"/>
            <w:r w:rsidRPr="008322A6">
              <w:rPr>
                <w:rFonts w:ascii="Calibri" w:eastAsia="Times New Roman" w:hAnsi="Calibri" w:cs="Calibri"/>
                <w:b/>
                <w:bCs/>
                <w:color w:val="404040"/>
                <w:kern w:val="0"/>
                <w:sz w:val="22"/>
                <w:szCs w:val="22"/>
                <w:lang w:eastAsia="en-US"/>
              </w:rPr>
              <w:t>Buying Criteria</w:t>
            </w:r>
            <w:bookmarkEnd w:id="26"/>
          </w:p>
        </w:tc>
        <w:tc>
          <w:tcPr>
            <w:tcW w:w="1597" w:type="dxa"/>
            <w:tcBorders>
              <w:top w:val="nil"/>
              <w:left w:val="nil"/>
              <w:bottom w:val="single" w:sz="8" w:space="0" w:color="404040"/>
              <w:right w:val="single" w:sz="4" w:space="0" w:color="595959"/>
            </w:tcBorders>
            <w:shd w:val="clear" w:color="auto" w:fill="auto"/>
            <w:noWrap/>
            <w:vAlign w:val="center"/>
            <w:hideMark/>
          </w:tcPr>
          <w:p w14:paraId="7A4D53C1" w14:textId="77777777" w:rsidR="00853D81" w:rsidRPr="008322A6" w:rsidRDefault="00853D81" w:rsidP="00F83A33">
            <w:pPr>
              <w:spacing w:line="240" w:lineRule="auto"/>
              <w:ind w:firstLineChars="100" w:firstLine="221"/>
              <w:rPr>
                <w:rFonts w:ascii="Calibri" w:eastAsia="Times New Roman" w:hAnsi="Calibri" w:cs="Calibri"/>
                <w:b/>
                <w:bCs/>
                <w:color w:val="404040"/>
                <w:kern w:val="0"/>
                <w:sz w:val="22"/>
                <w:szCs w:val="22"/>
                <w:lang w:eastAsia="en-US"/>
              </w:rPr>
            </w:pPr>
            <w:r w:rsidRPr="008322A6">
              <w:rPr>
                <w:rFonts w:ascii="Calibri" w:eastAsia="Times New Roman" w:hAnsi="Calibri" w:cs="Calibri"/>
                <w:b/>
                <w:bCs/>
                <w:color w:val="404040"/>
                <w:kern w:val="0"/>
                <w:sz w:val="22"/>
                <w:szCs w:val="22"/>
                <w:lang w:eastAsia="en-US"/>
              </w:rPr>
              <w:t>My</w:t>
            </w:r>
            <w:r>
              <w:rPr>
                <w:rFonts w:ascii="Calibri" w:eastAsia="Times New Roman" w:hAnsi="Calibri" w:cs="Calibri"/>
                <w:b/>
                <w:bCs/>
                <w:color w:val="404040"/>
                <w:kern w:val="0"/>
                <w:sz w:val="22"/>
                <w:szCs w:val="22"/>
                <w:lang w:eastAsia="en-US"/>
              </w:rPr>
              <w:t xml:space="preserve"> </w:t>
            </w:r>
            <w:r w:rsidRPr="008322A6">
              <w:rPr>
                <w:rFonts w:ascii="Calibri" w:eastAsia="Times New Roman" w:hAnsi="Calibri" w:cs="Calibri"/>
                <w:b/>
                <w:bCs/>
                <w:color w:val="404040"/>
                <w:kern w:val="0"/>
                <w:sz w:val="22"/>
                <w:szCs w:val="22"/>
                <w:lang w:eastAsia="en-US"/>
              </w:rPr>
              <w:t>Company</w:t>
            </w:r>
          </w:p>
        </w:tc>
        <w:tc>
          <w:tcPr>
            <w:tcW w:w="1733" w:type="dxa"/>
            <w:tcBorders>
              <w:top w:val="nil"/>
              <w:left w:val="nil"/>
              <w:bottom w:val="nil"/>
              <w:right w:val="nil"/>
            </w:tcBorders>
            <w:shd w:val="clear" w:color="auto" w:fill="auto"/>
            <w:vAlign w:val="center"/>
            <w:hideMark/>
          </w:tcPr>
          <w:p w14:paraId="03931531" w14:textId="77777777" w:rsidR="00853D81" w:rsidRPr="008322A6" w:rsidRDefault="00853D81" w:rsidP="00F83A33">
            <w:pPr>
              <w:spacing w:line="240" w:lineRule="auto"/>
              <w:ind w:firstLine="0"/>
              <w:rPr>
                <w:rFonts w:ascii="Calibri" w:eastAsia="Times New Roman" w:hAnsi="Calibri" w:cs="Calibri"/>
                <w:b/>
                <w:bCs/>
                <w:color w:val="404040"/>
                <w:kern w:val="0"/>
                <w:sz w:val="22"/>
                <w:szCs w:val="22"/>
                <w:lang w:eastAsia="en-US"/>
              </w:rPr>
            </w:pPr>
            <w:r w:rsidRPr="008322A6">
              <w:rPr>
                <w:rFonts w:ascii="Calibri" w:eastAsia="Times New Roman" w:hAnsi="Calibri" w:cs="Calibri"/>
                <w:b/>
                <w:bCs/>
                <w:color w:val="404040"/>
                <w:kern w:val="0"/>
                <w:sz w:val="22"/>
                <w:szCs w:val="22"/>
                <w:lang w:eastAsia="en-US"/>
              </w:rPr>
              <w:t>Community Health Access Project (CHAP)</w:t>
            </w:r>
          </w:p>
        </w:tc>
        <w:tc>
          <w:tcPr>
            <w:tcW w:w="1440" w:type="dxa"/>
            <w:tcBorders>
              <w:top w:val="nil"/>
              <w:left w:val="single" w:sz="4" w:space="0" w:color="auto"/>
              <w:bottom w:val="single" w:sz="8" w:space="0" w:color="404040"/>
              <w:right w:val="single" w:sz="4" w:space="0" w:color="595959"/>
            </w:tcBorders>
            <w:shd w:val="clear" w:color="auto" w:fill="auto"/>
            <w:vAlign w:val="center"/>
            <w:hideMark/>
          </w:tcPr>
          <w:p w14:paraId="3CA0B8DD" w14:textId="77777777" w:rsidR="00853D81" w:rsidRPr="008322A6" w:rsidRDefault="00853D81" w:rsidP="00F83A33">
            <w:pPr>
              <w:spacing w:line="240" w:lineRule="auto"/>
              <w:ind w:firstLine="0"/>
              <w:rPr>
                <w:rFonts w:ascii="Calibri" w:eastAsia="Times New Roman" w:hAnsi="Calibri" w:cs="Calibri"/>
                <w:b/>
                <w:bCs/>
                <w:color w:val="404040"/>
                <w:kern w:val="0"/>
                <w:sz w:val="22"/>
                <w:szCs w:val="22"/>
                <w:lang w:eastAsia="en-US"/>
              </w:rPr>
            </w:pPr>
            <w:bookmarkStart w:id="27" w:name="_Hlk4361097"/>
            <w:r w:rsidRPr="008322A6">
              <w:rPr>
                <w:rFonts w:ascii="Calibri" w:eastAsia="Times New Roman" w:hAnsi="Calibri" w:cs="Calibri"/>
                <w:b/>
                <w:bCs/>
                <w:color w:val="404040"/>
                <w:kern w:val="0"/>
                <w:sz w:val="22"/>
                <w:szCs w:val="22"/>
                <w:lang w:eastAsia="en-US"/>
              </w:rPr>
              <w:t>Michigan Pathways to Better Health</w:t>
            </w:r>
            <w:bookmarkEnd w:id="27"/>
          </w:p>
        </w:tc>
        <w:tc>
          <w:tcPr>
            <w:tcW w:w="2070" w:type="dxa"/>
            <w:tcBorders>
              <w:top w:val="nil"/>
              <w:left w:val="nil"/>
              <w:bottom w:val="single" w:sz="8" w:space="0" w:color="404040"/>
              <w:right w:val="single" w:sz="8" w:space="0" w:color="404040"/>
            </w:tcBorders>
            <w:shd w:val="clear" w:color="auto" w:fill="auto"/>
            <w:noWrap/>
            <w:vAlign w:val="center"/>
            <w:hideMark/>
          </w:tcPr>
          <w:p w14:paraId="7CE0DBBC" w14:textId="77777777" w:rsidR="00853D81" w:rsidRPr="008322A6" w:rsidRDefault="00853D81" w:rsidP="00F83A33">
            <w:pPr>
              <w:spacing w:line="240" w:lineRule="auto"/>
              <w:ind w:firstLineChars="100" w:firstLine="221"/>
              <w:rPr>
                <w:rFonts w:ascii="Calibri" w:eastAsia="Times New Roman" w:hAnsi="Calibri" w:cs="Calibri"/>
                <w:b/>
                <w:bCs/>
                <w:color w:val="404040"/>
                <w:kern w:val="0"/>
                <w:sz w:val="22"/>
                <w:szCs w:val="22"/>
                <w:lang w:eastAsia="en-US"/>
              </w:rPr>
            </w:pPr>
            <w:r w:rsidRPr="008322A6">
              <w:rPr>
                <w:rFonts w:ascii="Calibri" w:eastAsia="Times New Roman" w:hAnsi="Calibri" w:cs="Calibri"/>
                <w:b/>
                <w:bCs/>
                <w:color w:val="404040"/>
                <w:kern w:val="0"/>
                <w:sz w:val="22"/>
                <w:szCs w:val="22"/>
                <w:lang w:eastAsia="en-US"/>
              </w:rPr>
              <w:t>Solution implementation</w:t>
            </w:r>
          </w:p>
        </w:tc>
      </w:tr>
      <w:tr w:rsidR="00853D81" w:rsidRPr="008322A6" w14:paraId="51C57FE9" w14:textId="77777777" w:rsidTr="00F83A33">
        <w:trPr>
          <w:trHeight w:val="1800"/>
        </w:trPr>
        <w:tc>
          <w:tcPr>
            <w:tcW w:w="2510" w:type="dxa"/>
            <w:tcBorders>
              <w:top w:val="nil"/>
              <w:left w:val="single" w:sz="8" w:space="0" w:color="404040"/>
              <w:bottom w:val="single" w:sz="4" w:space="0" w:color="595959"/>
              <w:right w:val="single" w:sz="4" w:space="0" w:color="595959"/>
            </w:tcBorders>
            <w:shd w:val="clear" w:color="auto" w:fill="auto"/>
            <w:vAlign w:val="center"/>
            <w:hideMark/>
          </w:tcPr>
          <w:p w14:paraId="0881B321" w14:textId="77777777" w:rsidR="00853D81" w:rsidRPr="008322A6" w:rsidRDefault="00853D81" w:rsidP="00F83A33">
            <w:pPr>
              <w:spacing w:line="240" w:lineRule="auto"/>
              <w:ind w:firstLineChars="100" w:firstLine="220"/>
              <w:rPr>
                <w:rFonts w:ascii="Calibri" w:eastAsia="Times New Roman" w:hAnsi="Calibri" w:cs="Calibri"/>
                <w:color w:val="595959"/>
                <w:kern w:val="0"/>
                <w:sz w:val="22"/>
                <w:szCs w:val="22"/>
                <w:lang w:eastAsia="en-US"/>
              </w:rPr>
            </w:pPr>
            <w:r w:rsidRPr="008322A6">
              <w:rPr>
                <w:rFonts w:ascii="Calibri" w:eastAsia="Times New Roman" w:hAnsi="Calibri" w:cs="Calibri"/>
                <w:color w:val="595959"/>
                <w:kern w:val="0"/>
                <w:sz w:val="22"/>
                <w:szCs w:val="22"/>
                <w:lang w:eastAsia="en-US"/>
              </w:rPr>
              <w:t>Functionality</w:t>
            </w:r>
          </w:p>
        </w:tc>
        <w:tc>
          <w:tcPr>
            <w:tcW w:w="1597" w:type="dxa"/>
            <w:tcBorders>
              <w:top w:val="nil"/>
              <w:left w:val="nil"/>
              <w:bottom w:val="single" w:sz="4" w:space="0" w:color="595959"/>
              <w:right w:val="single" w:sz="4" w:space="0" w:color="595959"/>
            </w:tcBorders>
            <w:shd w:val="clear" w:color="auto" w:fill="auto"/>
            <w:vAlign w:val="center"/>
            <w:hideMark/>
          </w:tcPr>
          <w:p w14:paraId="72C1BB86"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HIGH</w:t>
            </w:r>
          </w:p>
        </w:tc>
        <w:tc>
          <w:tcPr>
            <w:tcW w:w="1733" w:type="dxa"/>
            <w:tcBorders>
              <w:top w:val="single" w:sz="8" w:space="0" w:color="404040"/>
              <w:left w:val="nil"/>
              <w:bottom w:val="single" w:sz="4" w:space="0" w:color="595959"/>
              <w:right w:val="single" w:sz="4" w:space="0" w:color="595959"/>
            </w:tcBorders>
            <w:shd w:val="clear" w:color="auto" w:fill="auto"/>
            <w:vAlign w:val="center"/>
            <w:hideMark/>
          </w:tcPr>
          <w:p w14:paraId="0D43E8E9"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LOW</w:t>
            </w:r>
          </w:p>
        </w:tc>
        <w:tc>
          <w:tcPr>
            <w:tcW w:w="1440" w:type="dxa"/>
            <w:tcBorders>
              <w:top w:val="nil"/>
              <w:left w:val="nil"/>
              <w:bottom w:val="single" w:sz="4" w:space="0" w:color="595959"/>
              <w:right w:val="single" w:sz="4" w:space="0" w:color="595959"/>
            </w:tcBorders>
            <w:shd w:val="clear" w:color="auto" w:fill="auto"/>
            <w:vAlign w:val="center"/>
            <w:hideMark/>
          </w:tcPr>
          <w:p w14:paraId="014AF569"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LOW</w:t>
            </w:r>
          </w:p>
        </w:tc>
        <w:tc>
          <w:tcPr>
            <w:tcW w:w="2070" w:type="dxa"/>
            <w:tcBorders>
              <w:top w:val="nil"/>
              <w:left w:val="nil"/>
              <w:bottom w:val="single" w:sz="4" w:space="0" w:color="595959"/>
              <w:right w:val="single" w:sz="8" w:space="0" w:color="404040"/>
            </w:tcBorders>
            <w:shd w:val="clear" w:color="auto" w:fill="auto"/>
            <w:vAlign w:val="center"/>
            <w:hideMark/>
          </w:tcPr>
          <w:p w14:paraId="33B56A8D" w14:textId="77777777" w:rsidR="00853D81" w:rsidRPr="008322A6" w:rsidRDefault="00853D81" w:rsidP="00F83A33">
            <w:pPr>
              <w:spacing w:line="240" w:lineRule="auto"/>
              <w:ind w:firstLineChars="100" w:firstLine="220"/>
              <w:jc w:val="both"/>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Framework implementation will be accompanied by a software application that will allow data input and data review.</w:t>
            </w:r>
          </w:p>
        </w:tc>
      </w:tr>
      <w:tr w:rsidR="00853D81" w:rsidRPr="008322A6" w14:paraId="021E7723" w14:textId="77777777" w:rsidTr="0044501B">
        <w:trPr>
          <w:trHeight w:val="900"/>
        </w:trPr>
        <w:tc>
          <w:tcPr>
            <w:tcW w:w="2510" w:type="dxa"/>
            <w:tcBorders>
              <w:top w:val="nil"/>
              <w:left w:val="single" w:sz="8" w:space="0" w:color="404040"/>
              <w:bottom w:val="single" w:sz="4" w:space="0" w:color="auto"/>
              <w:right w:val="single" w:sz="4" w:space="0" w:color="595959"/>
            </w:tcBorders>
            <w:shd w:val="clear" w:color="auto" w:fill="auto"/>
            <w:vAlign w:val="center"/>
            <w:hideMark/>
          </w:tcPr>
          <w:p w14:paraId="20C8E713" w14:textId="77777777" w:rsidR="00853D81" w:rsidRPr="008322A6" w:rsidRDefault="00853D81" w:rsidP="00F83A33">
            <w:pPr>
              <w:spacing w:line="240" w:lineRule="auto"/>
              <w:ind w:firstLineChars="100" w:firstLine="220"/>
              <w:rPr>
                <w:rFonts w:ascii="Calibri" w:eastAsia="Times New Roman" w:hAnsi="Calibri" w:cs="Calibri"/>
                <w:color w:val="595959"/>
                <w:kern w:val="0"/>
                <w:sz w:val="22"/>
                <w:szCs w:val="22"/>
                <w:lang w:eastAsia="en-US"/>
              </w:rPr>
            </w:pPr>
            <w:r w:rsidRPr="008322A6">
              <w:rPr>
                <w:rFonts w:ascii="Calibri" w:eastAsia="Times New Roman" w:hAnsi="Calibri" w:cs="Calibri"/>
                <w:color w:val="595959"/>
                <w:kern w:val="0"/>
                <w:sz w:val="22"/>
                <w:szCs w:val="22"/>
                <w:lang w:eastAsia="en-US"/>
              </w:rPr>
              <w:t>Measurable outcomes</w:t>
            </w:r>
          </w:p>
        </w:tc>
        <w:tc>
          <w:tcPr>
            <w:tcW w:w="1597" w:type="dxa"/>
            <w:tcBorders>
              <w:top w:val="nil"/>
              <w:left w:val="nil"/>
              <w:bottom w:val="single" w:sz="4" w:space="0" w:color="auto"/>
              <w:right w:val="single" w:sz="4" w:space="0" w:color="595959"/>
            </w:tcBorders>
            <w:shd w:val="clear" w:color="auto" w:fill="auto"/>
            <w:vAlign w:val="center"/>
            <w:hideMark/>
          </w:tcPr>
          <w:p w14:paraId="56558264"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HIGH</w:t>
            </w:r>
          </w:p>
        </w:tc>
        <w:tc>
          <w:tcPr>
            <w:tcW w:w="1733" w:type="dxa"/>
            <w:tcBorders>
              <w:top w:val="nil"/>
              <w:left w:val="nil"/>
              <w:bottom w:val="single" w:sz="4" w:space="0" w:color="auto"/>
              <w:right w:val="single" w:sz="4" w:space="0" w:color="595959"/>
            </w:tcBorders>
            <w:shd w:val="clear" w:color="auto" w:fill="auto"/>
            <w:vAlign w:val="center"/>
            <w:hideMark/>
          </w:tcPr>
          <w:p w14:paraId="297822E7"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LOW</w:t>
            </w:r>
          </w:p>
        </w:tc>
        <w:tc>
          <w:tcPr>
            <w:tcW w:w="1440" w:type="dxa"/>
            <w:tcBorders>
              <w:top w:val="nil"/>
              <w:left w:val="nil"/>
              <w:bottom w:val="single" w:sz="4" w:space="0" w:color="auto"/>
              <w:right w:val="single" w:sz="4" w:space="0" w:color="595959"/>
            </w:tcBorders>
            <w:shd w:val="clear" w:color="auto" w:fill="auto"/>
            <w:vAlign w:val="center"/>
            <w:hideMark/>
          </w:tcPr>
          <w:p w14:paraId="00DFB2F7" w14:textId="77777777" w:rsidR="00853D81" w:rsidRPr="008322A6" w:rsidRDefault="00853D81" w:rsidP="00F83A33">
            <w:pPr>
              <w:spacing w:line="240" w:lineRule="auto"/>
              <w:ind w:firstLineChars="100" w:firstLine="220"/>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HIGH</w:t>
            </w:r>
          </w:p>
        </w:tc>
        <w:tc>
          <w:tcPr>
            <w:tcW w:w="2070" w:type="dxa"/>
            <w:tcBorders>
              <w:top w:val="nil"/>
              <w:left w:val="nil"/>
              <w:bottom w:val="single" w:sz="4" w:space="0" w:color="auto"/>
              <w:right w:val="single" w:sz="8" w:space="0" w:color="404040"/>
            </w:tcBorders>
            <w:shd w:val="clear" w:color="auto" w:fill="auto"/>
            <w:vAlign w:val="center"/>
            <w:hideMark/>
          </w:tcPr>
          <w:p w14:paraId="20E1664E" w14:textId="77777777" w:rsidR="00853D81" w:rsidRPr="008322A6" w:rsidRDefault="00853D81" w:rsidP="00F83A33">
            <w:pPr>
              <w:spacing w:line="240" w:lineRule="auto"/>
              <w:ind w:firstLineChars="100" w:firstLine="220"/>
              <w:jc w:val="both"/>
              <w:rPr>
                <w:rFonts w:ascii="Calibri" w:eastAsia="Times New Roman" w:hAnsi="Calibri" w:cs="Calibri"/>
                <w:color w:val="262626"/>
                <w:kern w:val="0"/>
                <w:sz w:val="22"/>
                <w:szCs w:val="22"/>
                <w:lang w:eastAsia="en-US"/>
              </w:rPr>
            </w:pPr>
            <w:r w:rsidRPr="008322A6">
              <w:rPr>
                <w:rFonts w:ascii="Calibri" w:eastAsia="Times New Roman" w:hAnsi="Calibri" w:cs="Calibri"/>
                <w:color w:val="262626"/>
                <w:kern w:val="0"/>
                <w:sz w:val="22"/>
                <w:szCs w:val="22"/>
                <w:lang w:eastAsia="en-US"/>
              </w:rPr>
              <w:t>Every intervention through application will generate data for later use.</w:t>
            </w:r>
          </w:p>
        </w:tc>
      </w:tr>
      <w:tr w:rsidR="0044501B" w:rsidRPr="008322A6" w14:paraId="1A1B7D14" w14:textId="77777777" w:rsidTr="0044501B">
        <w:trPr>
          <w:trHeight w:val="900"/>
        </w:trPr>
        <w:tc>
          <w:tcPr>
            <w:tcW w:w="2510" w:type="dxa"/>
            <w:tcBorders>
              <w:top w:val="single" w:sz="4" w:space="0" w:color="auto"/>
              <w:left w:val="single" w:sz="8" w:space="0" w:color="404040"/>
              <w:bottom w:val="single" w:sz="8" w:space="0" w:color="404040"/>
              <w:right w:val="single" w:sz="4" w:space="0" w:color="595959"/>
            </w:tcBorders>
            <w:shd w:val="clear" w:color="auto" w:fill="auto"/>
            <w:vAlign w:val="center"/>
          </w:tcPr>
          <w:p w14:paraId="60E6BD00" w14:textId="4CF6C48E" w:rsidR="0044501B" w:rsidRPr="008322A6" w:rsidRDefault="0044501B" w:rsidP="00F83A33">
            <w:pPr>
              <w:spacing w:line="240" w:lineRule="auto"/>
              <w:ind w:firstLineChars="100" w:firstLine="220"/>
              <w:rPr>
                <w:rFonts w:ascii="Calibri" w:eastAsia="Times New Roman" w:hAnsi="Calibri" w:cs="Calibri"/>
                <w:color w:val="595959"/>
                <w:kern w:val="0"/>
                <w:sz w:val="22"/>
                <w:szCs w:val="22"/>
                <w:lang w:eastAsia="en-US"/>
              </w:rPr>
            </w:pPr>
            <w:r>
              <w:rPr>
                <w:rFonts w:ascii="Calibri" w:eastAsia="Times New Roman" w:hAnsi="Calibri" w:cs="Calibri"/>
                <w:color w:val="595959"/>
                <w:kern w:val="0"/>
                <w:sz w:val="22"/>
                <w:szCs w:val="22"/>
                <w:lang w:eastAsia="en-US"/>
              </w:rPr>
              <w:t>Profitability</w:t>
            </w:r>
          </w:p>
        </w:tc>
        <w:tc>
          <w:tcPr>
            <w:tcW w:w="1597" w:type="dxa"/>
            <w:tcBorders>
              <w:top w:val="single" w:sz="4" w:space="0" w:color="auto"/>
              <w:left w:val="nil"/>
              <w:bottom w:val="single" w:sz="8" w:space="0" w:color="404040"/>
              <w:right w:val="single" w:sz="4" w:space="0" w:color="595959"/>
            </w:tcBorders>
            <w:shd w:val="clear" w:color="auto" w:fill="auto"/>
            <w:vAlign w:val="center"/>
          </w:tcPr>
          <w:p w14:paraId="0EED8AEF" w14:textId="736580F5" w:rsidR="0044501B" w:rsidRPr="008322A6" w:rsidRDefault="0044501B" w:rsidP="00F83A33">
            <w:pPr>
              <w:spacing w:line="240" w:lineRule="auto"/>
              <w:ind w:firstLineChars="100" w:firstLine="220"/>
              <w:rPr>
                <w:rFonts w:ascii="Calibri" w:eastAsia="Times New Roman" w:hAnsi="Calibri" w:cs="Calibri"/>
                <w:color w:val="262626"/>
                <w:kern w:val="0"/>
                <w:sz w:val="22"/>
                <w:szCs w:val="22"/>
                <w:lang w:eastAsia="en-US"/>
              </w:rPr>
            </w:pPr>
            <w:r>
              <w:rPr>
                <w:rFonts w:ascii="Calibri" w:eastAsia="Times New Roman" w:hAnsi="Calibri" w:cs="Calibri"/>
                <w:color w:val="262626"/>
                <w:kern w:val="0"/>
                <w:sz w:val="22"/>
                <w:szCs w:val="22"/>
                <w:lang w:eastAsia="en-US"/>
              </w:rPr>
              <w:t>HIGH</w:t>
            </w:r>
          </w:p>
        </w:tc>
        <w:tc>
          <w:tcPr>
            <w:tcW w:w="1733" w:type="dxa"/>
            <w:tcBorders>
              <w:top w:val="single" w:sz="4" w:space="0" w:color="auto"/>
              <w:left w:val="nil"/>
              <w:bottom w:val="single" w:sz="8" w:space="0" w:color="404040"/>
              <w:right w:val="single" w:sz="4" w:space="0" w:color="595959"/>
            </w:tcBorders>
            <w:shd w:val="clear" w:color="auto" w:fill="auto"/>
            <w:vAlign w:val="center"/>
          </w:tcPr>
          <w:p w14:paraId="49F7B5CF" w14:textId="54020B90" w:rsidR="0044501B" w:rsidRPr="008322A6" w:rsidRDefault="0044501B" w:rsidP="00F83A33">
            <w:pPr>
              <w:spacing w:line="240" w:lineRule="auto"/>
              <w:ind w:firstLineChars="100" w:firstLine="220"/>
              <w:rPr>
                <w:rFonts w:ascii="Calibri" w:eastAsia="Times New Roman" w:hAnsi="Calibri" w:cs="Calibri"/>
                <w:color w:val="262626"/>
                <w:kern w:val="0"/>
                <w:sz w:val="22"/>
                <w:szCs w:val="22"/>
                <w:lang w:eastAsia="en-US"/>
              </w:rPr>
            </w:pPr>
            <w:r>
              <w:rPr>
                <w:rFonts w:ascii="Calibri" w:eastAsia="Times New Roman" w:hAnsi="Calibri" w:cs="Calibri"/>
                <w:color w:val="262626"/>
                <w:kern w:val="0"/>
                <w:sz w:val="22"/>
                <w:szCs w:val="22"/>
                <w:lang w:eastAsia="en-US"/>
              </w:rPr>
              <w:t>MID</w:t>
            </w:r>
          </w:p>
        </w:tc>
        <w:tc>
          <w:tcPr>
            <w:tcW w:w="1440" w:type="dxa"/>
            <w:tcBorders>
              <w:top w:val="single" w:sz="4" w:space="0" w:color="auto"/>
              <w:left w:val="nil"/>
              <w:bottom w:val="single" w:sz="8" w:space="0" w:color="404040"/>
              <w:right w:val="single" w:sz="4" w:space="0" w:color="595959"/>
            </w:tcBorders>
            <w:shd w:val="clear" w:color="auto" w:fill="auto"/>
            <w:vAlign w:val="center"/>
          </w:tcPr>
          <w:p w14:paraId="3F06AEE0" w14:textId="2584F906" w:rsidR="0044501B" w:rsidRPr="008322A6" w:rsidRDefault="0044501B" w:rsidP="00F83A33">
            <w:pPr>
              <w:spacing w:line="240" w:lineRule="auto"/>
              <w:ind w:firstLineChars="100" w:firstLine="220"/>
              <w:rPr>
                <w:rFonts w:ascii="Calibri" w:eastAsia="Times New Roman" w:hAnsi="Calibri" w:cs="Calibri"/>
                <w:color w:val="262626"/>
                <w:kern w:val="0"/>
                <w:sz w:val="22"/>
                <w:szCs w:val="22"/>
                <w:lang w:eastAsia="en-US"/>
              </w:rPr>
            </w:pPr>
            <w:r>
              <w:rPr>
                <w:rFonts w:ascii="Calibri" w:eastAsia="Times New Roman" w:hAnsi="Calibri" w:cs="Calibri"/>
                <w:color w:val="262626"/>
                <w:kern w:val="0"/>
                <w:sz w:val="22"/>
                <w:szCs w:val="22"/>
                <w:lang w:eastAsia="en-US"/>
              </w:rPr>
              <w:t>MID</w:t>
            </w:r>
          </w:p>
        </w:tc>
        <w:tc>
          <w:tcPr>
            <w:tcW w:w="2070" w:type="dxa"/>
            <w:tcBorders>
              <w:top w:val="single" w:sz="4" w:space="0" w:color="auto"/>
              <w:left w:val="nil"/>
              <w:bottom w:val="single" w:sz="8" w:space="0" w:color="404040"/>
              <w:right w:val="single" w:sz="8" w:space="0" w:color="404040"/>
            </w:tcBorders>
            <w:shd w:val="clear" w:color="auto" w:fill="auto"/>
            <w:vAlign w:val="center"/>
          </w:tcPr>
          <w:p w14:paraId="7E6F97B2" w14:textId="527EA6BD" w:rsidR="0044501B" w:rsidRPr="008322A6" w:rsidRDefault="0044501B" w:rsidP="00F83A33">
            <w:pPr>
              <w:spacing w:line="240" w:lineRule="auto"/>
              <w:ind w:firstLineChars="100" w:firstLine="220"/>
              <w:jc w:val="both"/>
              <w:rPr>
                <w:rFonts w:ascii="Calibri" w:eastAsia="Times New Roman" w:hAnsi="Calibri" w:cs="Calibri"/>
                <w:color w:val="262626"/>
                <w:kern w:val="0"/>
                <w:sz w:val="22"/>
                <w:szCs w:val="22"/>
                <w:lang w:eastAsia="en-US"/>
              </w:rPr>
            </w:pPr>
            <w:r>
              <w:rPr>
                <w:rFonts w:ascii="Calibri" w:eastAsia="Times New Roman" w:hAnsi="Calibri" w:cs="Calibri"/>
                <w:color w:val="262626"/>
                <w:kern w:val="0"/>
                <w:sz w:val="22"/>
                <w:szCs w:val="22"/>
                <w:lang w:eastAsia="en-US"/>
              </w:rPr>
              <w:t>Pay for performance method.  Measurable outcomes.  Small investment on hardware or software.</w:t>
            </w:r>
          </w:p>
        </w:tc>
      </w:tr>
    </w:tbl>
    <w:p w14:paraId="65CD2C8D" w14:textId="77777777" w:rsidR="00853D81" w:rsidRDefault="00853D81" w:rsidP="00853D81">
      <w:pPr>
        <w:rPr>
          <w:rStyle w:val="Emphasis"/>
        </w:rPr>
      </w:pPr>
    </w:p>
    <w:p w14:paraId="59870D1B" w14:textId="69EDE6EB" w:rsidR="005A5DA9" w:rsidRDefault="00853D81" w:rsidP="0044501B">
      <w:pPr>
        <w:pStyle w:val="TableFigure"/>
      </w:pPr>
      <w:r>
        <w:rPr>
          <w:rStyle w:val="Emphasis"/>
        </w:rPr>
        <w:t>Note</w:t>
      </w:r>
      <w:r>
        <w:t xml:space="preserve">:  This table shows the two main buying criteria for the </w:t>
      </w:r>
      <w:r w:rsidRPr="007743AB">
        <w:rPr>
          <w:i/>
        </w:rPr>
        <w:t>Home Visiting Service</w:t>
      </w:r>
      <w:r>
        <w:t xml:space="preserve"> in contrast with two competitors.  My Company are scored on a High, Low, Medium categories for Functionality and Measurable outcomes.  Community Health Access Project is the project on which this platform is based.  In contrast with this framework, </w:t>
      </w:r>
      <w:r w:rsidRPr="00133C9C">
        <w:rPr>
          <w:i/>
        </w:rPr>
        <w:t>Home Visiting Service and Framework</w:t>
      </w:r>
      <w:r>
        <w:t xml:space="preserve"> provides and application in order to acquire data during patient-provider interactions.  This is the same case as with the </w:t>
      </w:r>
      <w:r w:rsidRPr="0027628E">
        <w:t>Michigan Pathways to Better Health</w:t>
      </w:r>
      <w:r>
        <w:t xml:space="preserve"> framework which does not provide a software tool for data acquisition.</w:t>
      </w:r>
      <w:r w:rsidR="005A5DA9">
        <w:br w:type="page"/>
      </w:r>
    </w:p>
    <w:p w14:paraId="0DA42233" w14:textId="35FC8E01" w:rsidR="005565B6" w:rsidRDefault="005565B6" w:rsidP="005565B6">
      <w:pPr>
        <w:pStyle w:val="Caption"/>
        <w:keepNext/>
      </w:pPr>
      <w:bookmarkStart w:id="28" w:name="_Ref7039045"/>
      <w:r>
        <w:lastRenderedPageBreak/>
        <w:t xml:space="preserve">Table </w:t>
      </w:r>
      <w:r w:rsidR="00447885">
        <w:fldChar w:fldCharType="begin"/>
      </w:r>
      <w:r w:rsidR="00447885">
        <w:instrText xml:space="preserve"> SEQ Table \* ARABIC </w:instrText>
      </w:r>
      <w:r w:rsidR="00447885">
        <w:fldChar w:fldCharType="separate"/>
      </w:r>
      <w:r>
        <w:rPr>
          <w:noProof/>
        </w:rPr>
        <w:t>2</w:t>
      </w:r>
      <w:r w:rsidR="00447885">
        <w:rPr>
          <w:noProof/>
        </w:rPr>
        <w:fldChar w:fldCharType="end"/>
      </w:r>
      <w:r>
        <w:t xml:space="preserve">. </w:t>
      </w:r>
      <w:r w:rsidRPr="000E0BBA">
        <w:t>Heartland Health: Electronic Medical Record 3-Year Financial Prospectus</w:t>
      </w:r>
      <w:bookmarkEnd w:id="28"/>
    </w:p>
    <w:tbl>
      <w:tblPr>
        <w:tblW w:w="8771" w:type="dxa"/>
        <w:jc w:val="center"/>
        <w:tblLook w:val="04A0" w:firstRow="1" w:lastRow="0" w:firstColumn="1" w:lastColumn="0" w:noHBand="0" w:noVBand="1"/>
      </w:tblPr>
      <w:tblGrid>
        <w:gridCol w:w="491"/>
        <w:gridCol w:w="3920"/>
        <w:gridCol w:w="1480"/>
        <w:gridCol w:w="1440"/>
        <w:gridCol w:w="1440"/>
      </w:tblGrid>
      <w:tr w:rsidR="005A5DA9" w:rsidRPr="0077750B" w14:paraId="365AAF49" w14:textId="77777777" w:rsidTr="005565B6">
        <w:trPr>
          <w:trHeight w:val="300"/>
          <w:jc w:val="center"/>
        </w:trPr>
        <w:tc>
          <w:tcPr>
            <w:tcW w:w="491" w:type="dxa"/>
            <w:tcBorders>
              <w:top w:val="nil"/>
              <w:left w:val="nil"/>
              <w:bottom w:val="nil"/>
              <w:right w:val="nil"/>
            </w:tcBorders>
          </w:tcPr>
          <w:p w14:paraId="16BB334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26AABB3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Sales</w:t>
            </w:r>
          </w:p>
        </w:tc>
        <w:tc>
          <w:tcPr>
            <w:tcW w:w="1480" w:type="dxa"/>
            <w:tcBorders>
              <w:top w:val="nil"/>
              <w:left w:val="nil"/>
              <w:bottom w:val="nil"/>
              <w:right w:val="nil"/>
            </w:tcBorders>
            <w:shd w:val="clear" w:color="auto" w:fill="auto"/>
            <w:noWrap/>
            <w:vAlign w:val="center"/>
            <w:hideMark/>
          </w:tcPr>
          <w:p w14:paraId="7EDC8B42"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1</w:t>
            </w:r>
          </w:p>
        </w:tc>
        <w:tc>
          <w:tcPr>
            <w:tcW w:w="1440" w:type="dxa"/>
            <w:tcBorders>
              <w:top w:val="nil"/>
              <w:left w:val="nil"/>
              <w:bottom w:val="nil"/>
              <w:right w:val="nil"/>
            </w:tcBorders>
            <w:shd w:val="clear" w:color="auto" w:fill="auto"/>
            <w:noWrap/>
            <w:vAlign w:val="center"/>
            <w:hideMark/>
          </w:tcPr>
          <w:p w14:paraId="6DD76D37"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2</w:t>
            </w:r>
          </w:p>
        </w:tc>
        <w:tc>
          <w:tcPr>
            <w:tcW w:w="1440" w:type="dxa"/>
            <w:tcBorders>
              <w:top w:val="nil"/>
              <w:left w:val="nil"/>
              <w:bottom w:val="nil"/>
              <w:right w:val="nil"/>
            </w:tcBorders>
            <w:shd w:val="clear" w:color="auto" w:fill="auto"/>
            <w:noWrap/>
            <w:vAlign w:val="center"/>
            <w:hideMark/>
          </w:tcPr>
          <w:p w14:paraId="7C85DC20"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3</w:t>
            </w:r>
          </w:p>
        </w:tc>
      </w:tr>
      <w:tr w:rsidR="005A5DA9" w:rsidRPr="0077750B" w14:paraId="1A57ED40" w14:textId="77777777" w:rsidTr="005565B6">
        <w:trPr>
          <w:trHeight w:val="300"/>
          <w:jc w:val="center"/>
        </w:trPr>
        <w:tc>
          <w:tcPr>
            <w:tcW w:w="491" w:type="dxa"/>
            <w:tcBorders>
              <w:top w:val="nil"/>
              <w:left w:val="nil"/>
              <w:bottom w:val="nil"/>
              <w:right w:val="nil"/>
            </w:tcBorders>
          </w:tcPr>
          <w:p w14:paraId="5003608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w:t>
            </w:r>
          </w:p>
        </w:tc>
        <w:tc>
          <w:tcPr>
            <w:tcW w:w="3920" w:type="dxa"/>
            <w:tcBorders>
              <w:top w:val="nil"/>
              <w:left w:val="nil"/>
              <w:bottom w:val="nil"/>
              <w:right w:val="nil"/>
            </w:tcBorders>
            <w:shd w:val="clear" w:color="auto" w:fill="auto"/>
            <w:noWrap/>
            <w:vAlign w:val="center"/>
            <w:hideMark/>
          </w:tcPr>
          <w:p w14:paraId="2C9A1EAA"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Sales/Revenue</w:t>
            </w:r>
          </w:p>
        </w:tc>
        <w:tc>
          <w:tcPr>
            <w:tcW w:w="1480" w:type="dxa"/>
            <w:tcBorders>
              <w:top w:val="nil"/>
              <w:left w:val="nil"/>
              <w:bottom w:val="nil"/>
              <w:right w:val="nil"/>
            </w:tcBorders>
            <w:shd w:val="clear" w:color="auto" w:fill="auto"/>
            <w:noWrap/>
            <w:vAlign w:val="center"/>
            <w:hideMark/>
          </w:tcPr>
          <w:p w14:paraId="2F97258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54,000.00 </w:t>
            </w:r>
          </w:p>
        </w:tc>
        <w:tc>
          <w:tcPr>
            <w:tcW w:w="1440" w:type="dxa"/>
            <w:tcBorders>
              <w:top w:val="nil"/>
              <w:left w:val="nil"/>
              <w:bottom w:val="nil"/>
              <w:right w:val="nil"/>
            </w:tcBorders>
            <w:shd w:val="clear" w:color="auto" w:fill="auto"/>
            <w:noWrap/>
            <w:vAlign w:val="center"/>
            <w:hideMark/>
          </w:tcPr>
          <w:p w14:paraId="548716E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43,200.00 </w:t>
            </w:r>
          </w:p>
        </w:tc>
        <w:tc>
          <w:tcPr>
            <w:tcW w:w="1440" w:type="dxa"/>
            <w:tcBorders>
              <w:top w:val="nil"/>
              <w:left w:val="nil"/>
              <w:bottom w:val="nil"/>
              <w:right w:val="nil"/>
            </w:tcBorders>
            <w:shd w:val="clear" w:color="auto" w:fill="auto"/>
            <w:noWrap/>
            <w:vAlign w:val="center"/>
            <w:hideMark/>
          </w:tcPr>
          <w:p w14:paraId="5D86E04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43,200.00 </w:t>
            </w:r>
          </w:p>
        </w:tc>
      </w:tr>
      <w:tr w:rsidR="005A5DA9" w:rsidRPr="0077750B" w14:paraId="68613CF8" w14:textId="77777777" w:rsidTr="005565B6">
        <w:trPr>
          <w:trHeight w:val="315"/>
          <w:jc w:val="center"/>
        </w:trPr>
        <w:tc>
          <w:tcPr>
            <w:tcW w:w="491" w:type="dxa"/>
            <w:tcBorders>
              <w:top w:val="nil"/>
              <w:left w:val="nil"/>
              <w:bottom w:val="nil"/>
              <w:right w:val="nil"/>
            </w:tcBorders>
          </w:tcPr>
          <w:p w14:paraId="3A356CB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2.</w:t>
            </w:r>
          </w:p>
        </w:tc>
        <w:tc>
          <w:tcPr>
            <w:tcW w:w="3920" w:type="dxa"/>
            <w:tcBorders>
              <w:top w:val="nil"/>
              <w:left w:val="nil"/>
              <w:bottom w:val="nil"/>
              <w:right w:val="nil"/>
            </w:tcBorders>
            <w:shd w:val="clear" w:color="auto" w:fill="auto"/>
            <w:noWrap/>
            <w:vAlign w:val="center"/>
            <w:hideMark/>
          </w:tcPr>
          <w:p w14:paraId="2E9898B9"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Expense</w:t>
            </w:r>
          </w:p>
        </w:tc>
        <w:tc>
          <w:tcPr>
            <w:tcW w:w="1480" w:type="dxa"/>
            <w:tcBorders>
              <w:top w:val="nil"/>
              <w:left w:val="nil"/>
              <w:bottom w:val="single" w:sz="8" w:space="0" w:color="auto"/>
              <w:right w:val="nil"/>
            </w:tcBorders>
            <w:shd w:val="clear" w:color="auto" w:fill="auto"/>
            <w:noWrap/>
            <w:vAlign w:val="center"/>
            <w:hideMark/>
          </w:tcPr>
          <w:p w14:paraId="2F27CEC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44,200.00 </w:t>
            </w:r>
          </w:p>
        </w:tc>
        <w:tc>
          <w:tcPr>
            <w:tcW w:w="1440" w:type="dxa"/>
            <w:tcBorders>
              <w:top w:val="nil"/>
              <w:left w:val="nil"/>
              <w:bottom w:val="single" w:sz="8" w:space="0" w:color="auto"/>
              <w:right w:val="nil"/>
            </w:tcBorders>
            <w:shd w:val="clear" w:color="auto" w:fill="auto"/>
            <w:noWrap/>
            <w:vAlign w:val="center"/>
            <w:hideMark/>
          </w:tcPr>
          <w:p w14:paraId="2535169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c>
          <w:tcPr>
            <w:tcW w:w="1440" w:type="dxa"/>
            <w:tcBorders>
              <w:top w:val="nil"/>
              <w:left w:val="nil"/>
              <w:bottom w:val="single" w:sz="8" w:space="0" w:color="auto"/>
              <w:right w:val="nil"/>
            </w:tcBorders>
            <w:shd w:val="clear" w:color="auto" w:fill="auto"/>
            <w:noWrap/>
            <w:vAlign w:val="center"/>
            <w:hideMark/>
          </w:tcPr>
          <w:p w14:paraId="00AF83D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r>
      <w:tr w:rsidR="005A5DA9" w:rsidRPr="0077750B" w14:paraId="6C40FADB" w14:textId="77777777" w:rsidTr="005565B6">
        <w:trPr>
          <w:trHeight w:val="300"/>
          <w:jc w:val="center"/>
        </w:trPr>
        <w:tc>
          <w:tcPr>
            <w:tcW w:w="491" w:type="dxa"/>
            <w:tcBorders>
              <w:top w:val="nil"/>
              <w:left w:val="nil"/>
              <w:bottom w:val="single" w:sz="4" w:space="0" w:color="auto"/>
              <w:right w:val="nil"/>
            </w:tcBorders>
          </w:tcPr>
          <w:p w14:paraId="756CF7F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3.</w:t>
            </w:r>
          </w:p>
        </w:tc>
        <w:tc>
          <w:tcPr>
            <w:tcW w:w="3920" w:type="dxa"/>
            <w:tcBorders>
              <w:top w:val="nil"/>
              <w:left w:val="nil"/>
              <w:bottom w:val="single" w:sz="4" w:space="0" w:color="auto"/>
              <w:right w:val="nil"/>
            </w:tcBorders>
            <w:shd w:val="clear" w:color="auto" w:fill="auto"/>
            <w:noWrap/>
            <w:vAlign w:val="center"/>
            <w:hideMark/>
          </w:tcPr>
          <w:p w14:paraId="7070DBE6"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Operating Income</w:t>
            </w:r>
          </w:p>
        </w:tc>
        <w:tc>
          <w:tcPr>
            <w:tcW w:w="1480" w:type="dxa"/>
            <w:tcBorders>
              <w:top w:val="nil"/>
              <w:left w:val="nil"/>
              <w:bottom w:val="single" w:sz="4" w:space="0" w:color="auto"/>
              <w:right w:val="nil"/>
            </w:tcBorders>
            <w:shd w:val="clear" w:color="auto" w:fill="auto"/>
            <w:noWrap/>
            <w:vAlign w:val="center"/>
            <w:hideMark/>
          </w:tcPr>
          <w:p w14:paraId="34B0F06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9,800.00 </w:t>
            </w:r>
          </w:p>
        </w:tc>
        <w:tc>
          <w:tcPr>
            <w:tcW w:w="1440" w:type="dxa"/>
            <w:tcBorders>
              <w:top w:val="nil"/>
              <w:left w:val="nil"/>
              <w:bottom w:val="single" w:sz="4" w:space="0" w:color="auto"/>
              <w:right w:val="nil"/>
            </w:tcBorders>
            <w:shd w:val="clear" w:color="auto" w:fill="auto"/>
            <w:noWrap/>
            <w:vAlign w:val="center"/>
            <w:hideMark/>
          </w:tcPr>
          <w:p w14:paraId="030478C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c>
          <w:tcPr>
            <w:tcW w:w="1440" w:type="dxa"/>
            <w:tcBorders>
              <w:top w:val="nil"/>
              <w:left w:val="nil"/>
              <w:bottom w:val="single" w:sz="4" w:space="0" w:color="auto"/>
              <w:right w:val="nil"/>
            </w:tcBorders>
            <w:shd w:val="clear" w:color="auto" w:fill="auto"/>
            <w:noWrap/>
            <w:vAlign w:val="center"/>
            <w:hideMark/>
          </w:tcPr>
          <w:p w14:paraId="5D99B1A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r>
      <w:tr w:rsidR="005A5DA9" w:rsidRPr="0077750B" w14:paraId="462BDC2D" w14:textId="77777777" w:rsidTr="005565B6">
        <w:trPr>
          <w:trHeight w:val="300"/>
          <w:jc w:val="center"/>
        </w:trPr>
        <w:tc>
          <w:tcPr>
            <w:tcW w:w="491" w:type="dxa"/>
            <w:tcBorders>
              <w:top w:val="single" w:sz="4" w:space="0" w:color="auto"/>
              <w:left w:val="nil"/>
              <w:bottom w:val="single" w:sz="4" w:space="0" w:color="auto"/>
              <w:right w:val="nil"/>
            </w:tcBorders>
          </w:tcPr>
          <w:p w14:paraId="13E4945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4.</w:t>
            </w:r>
          </w:p>
        </w:tc>
        <w:tc>
          <w:tcPr>
            <w:tcW w:w="3920" w:type="dxa"/>
            <w:tcBorders>
              <w:top w:val="single" w:sz="4" w:space="0" w:color="auto"/>
              <w:left w:val="nil"/>
              <w:bottom w:val="single" w:sz="4" w:space="0" w:color="auto"/>
              <w:right w:val="nil"/>
            </w:tcBorders>
            <w:shd w:val="clear" w:color="auto" w:fill="auto"/>
            <w:noWrap/>
            <w:vAlign w:val="center"/>
            <w:hideMark/>
          </w:tcPr>
          <w:p w14:paraId="431B1C3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Operating Margin</w:t>
            </w:r>
          </w:p>
        </w:tc>
        <w:tc>
          <w:tcPr>
            <w:tcW w:w="1480" w:type="dxa"/>
            <w:tcBorders>
              <w:top w:val="single" w:sz="4" w:space="0" w:color="auto"/>
              <w:left w:val="nil"/>
              <w:bottom w:val="single" w:sz="4" w:space="0" w:color="auto"/>
              <w:right w:val="nil"/>
            </w:tcBorders>
            <w:shd w:val="clear" w:color="auto" w:fill="auto"/>
            <w:noWrap/>
            <w:vAlign w:val="center"/>
            <w:hideMark/>
          </w:tcPr>
          <w:p w14:paraId="0216C261"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18%</w:t>
            </w:r>
          </w:p>
        </w:tc>
        <w:tc>
          <w:tcPr>
            <w:tcW w:w="1440" w:type="dxa"/>
            <w:tcBorders>
              <w:top w:val="single" w:sz="4" w:space="0" w:color="auto"/>
              <w:left w:val="nil"/>
              <w:bottom w:val="single" w:sz="4" w:space="0" w:color="auto"/>
              <w:right w:val="nil"/>
            </w:tcBorders>
            <w:shd w:val="clear" w:color="auto" w:fill="auto"/>
            <w:noWrap/>
            <w:vAlign w:val="center"/>
            <w:hideMark/>
          </w:tcPr>
          <w:p w14:paraId="3E2BA688"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81%</w:t>
            </w:r>
          </w:p>
        </w:tc>
        <w:tc>
          <w:tcPr>
            <w:tcW w:w="1440" w:type="dxa"/>
            <w:tcBorders>
              <w:top w:val="single" w:sz="4" w:space="0" w:color="auto"/>
              <w:left w:val="nil"/>
              <w:bottom w:val="single" w:sz="4" w:space="0" w:color="auto"/>
              <w:right w:val="nil"/>
            </w:tcBorders>
            <w:shd w:val="clear" w:color="auto" w:fill="auto"/>
            <w:noWrap/>
            <w:vAlign w:val="center"/>
            <w:hideMark/>
          </w:tcPr>
          <w:p w14:paraId="2BA07817"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81%</w:t>
            </w:r>
          </w:p>
        </w:tc>
      </w:tr>
      <w:tr w:rsidR="005A5DA9" w:rsidRPr="0077750B" w14:paraId="12190A7F" w14:textId="77777777" w:rsidTr="005565B6">
        <w:trPr>
          <w:trHeight w:val="300"/>
          <w:jc w:val="center"/>
        </w:trPr>
        <w:tc>
          <w:tcPr>
            <w:tcW w:w="491" w:type="dxa"/>
            <w:tcBorders>
              <w:top w:val="single" w:sz="4" w:space="0" w:color="auto"/>
              <w:left w:val="nil"/>
              <w:bottom w:val="nil"/>
              <w:right w:val="nil"/>
            </w:tcBorders>
          </w:tcPr>
          <w:p w14:paraId="1BAA91A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single" w:sz="4" w:space="0" w:color="auto"/>
              <w:left w:val="nil"/>
              <w:bottom w:val="nil"/>
              <w:right w:val="nil"/>
            </w:tcBorders>
            <w:shd w:val="clear" w:color="auto" w:fill="auto"/>
            <w:noWrap/>
            <w:vAlign w:val="center"/>
            <w:hideMark/>
          </w:tcPr>
          <w:p w14:paraId="79A35FD4"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p>
        </w:tc>
        <w:tc>
          <w:tcPr>
            <w:tcW w:w="1480" w:type="dxa"/>
            <w:tcBorders>
              <w:top w:val="single" w:sz="4" w:space="0" w:color="auto"/>
              <w:left w:val="nil"/>
              <w:bottom w:val="nil"/>
              <w:right w:val="nil"/>
            </w:tcBorders>
            <w:shd w:val="clear" w:color="auto" w:fill="auto"/>
            <w:noWrap/>
            <w:vAlign w:val="center"/>
            <w:hideMark/>
          </w:tcPr>
          <w:p w14:paraId="0BA03AE2"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1CFFB51D"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18D3D82E"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6C339131" w14:textId="77777777" w:rsidTr="005565B6">
        <w:trPr>
          <w:trHeight w:val="300"/>
          <w:jc w:val="center"/>
        </w:trPr>
        <w:tc>
          <w:tcPr>
            <w:tcW w:w="491" w:type="dxa"/>
            <w:tcBorders>
              <w:top w:val="nil"/>
              <w:left w:val="nil"/>
              <w:bottom w:val="nil"/>
              <w:right w:val="nil"/>
            </w:tcBorders>
          </w:tcPr>
          <w:p w14:paraId="65B45CF0"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3920" w:type="dxa"/>
            <w:tcBorders>
              <w:top w:val="nil"/>
              <w:left w:val="nil"/>
              <w:bottom w:val="nil"/>
              <w:right w:val="nil"/>
            </w:tcBorders>
            <w:shd w:val="clear" w:color="auto" w:fill="auto"/>
            <w:noWrap/>
            <w:vAlign w:val="center"/>
            <w:hideMark/>
          </w:tcPr>
          <w:p w14:paraId="535E42DF"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80" w:type="dxa"/>
            <w:tcBorders>
              <w:top w:val="nil"/>
              <w:left w:val="nil"/>
              <w:bottom w:val="nil"/>
              <w:right w:val="nil"/>
            </w:tcBorders>
            <w:shd w:val="clear" w:color="auto" w:fill="auto"/>
            <w:noWrap/>
            <w:vAlign w:val="center"/>
            <w:hideMark/>
          </w:tcPr>
          <w:p w14:paraId="62383D20"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nil"/>
              <w:right w:val="nil"/>
            </w:tcBorders>
            <w:shd w:val="clear" w:color="auto" w:fill="auto"/>
            <w:noWrap/>
            <w:vAlign w:val="center"/>
            <w:hideMark/>
          </w:tcPr>
          <w:p w14:paraId="228DE5D8"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nil"/>
              <w:right w:val="nil"/>
            </w:tcBorders>
            <w:shd w:val="clear" w:color="auto" w:fill="auto"/>
            <w:noWrap/>
            <w:vAlign w:val="center"/>
            <w:hideMark/>
          </w:tcPr>
          <w:p w14:paraId="38B7548E"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31051630" w14:textId="77777777" w:rsidTr="005565B6">
        <w:trPr>
          <w:trHeight w:val="300"/>
          <w:jc w:val="center"/>
        </w:trPr>
        <w:tc>
          <w:tcPr>
            <w:tcW w:w="491" w:type="dxa"/>
            <w:tcBorders>
              <w:top w:val="nil"/>
              <w:left w:val="nil"/>
              <w:bottom w:val="nil"/>
              <w:right w:val="nil"/>
            </w:tcBorders>
          </w:tcPr>
          <w:p w14:paraId="1155FB3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2A9239F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Expenses</w:t>
            </w:r>
          </w:p>
        </w:tc>
        <w:tc>
          <w:tcPr>
            <w:tcW w:w="1480" w:type="dxa"/>
            <w:tcBorders>
              <w:top w:val="nil"/>
              <w:left w:val="nil"/>
              <w:bottom w:val="nil"/>
              <w:right w:val="nil"/>
            </w:tcBorders>
            <w:shd w:val="clear" w:color="auto" w:fill="auto"/>
            <w:noWrap/>
            <w:vAlign w:val="center"/>
            <w:hideMark/>
          </w:tcPr>
          <w:p w14:paraId="46C707FB"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1</w:t>
            </w:r>
          </w:p>
        </w:tc>
        <w:tc>
          <w:tcPr>
            <w:tcW w:w="1440" w:type="dxa"/>
            <w:tcBorders>
              <w:top w:val="nil"/>
              <w:left w:val="nil"/>
              <w:bottom w:val="nil"/>
              <w:right w:val="nil"/>
            </w:tcBorders>
            <w:shd w:val="clear" w:color="auto" w:fill="auto"/>
            <w:noWrap/>
            <w:vAlign w:val="center"/>
            <w:hideMark/>
          </w:tcPr>
          <w:p w14:paraId="5C8A120E"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2</w:t>
            </w:r>
          </w:p>
        </w:tc>
        <w:tc>
          <w:tcPr>
            <w:tcW w:w="1440" w:type="dxa"/>
            <w:tcBorders>
              <w:top w:val="nil"/>
              <w:left w:val="nil"/>
              <w:bottom w:val="nil"/>
              <w:right w:val="nil"/>
            </w:tcBorders>
            <w:shd w:val="clear" w:color="auto" w:fill="auto"/>
            <w:noWrap/>
            <w:vAlign w:val="center"/>
            <w:hideMark/>
          </w:tcPr>
          <w:p w14:paraId="37E3962D"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3</w:t>
            </w:r>
          </w:p>
        </w:tc>
      </w:tr>
      <w:tr w:rsidR="005A5DA9" w:rsidRPr="0077750B" w14:paraId="5E4932EE" w14:textId="77777777" w:rsidTr="005565B6">
        <w:trPr>
          <w:trHeight w:val="300"/>
          <w:jc w:val="center"/>
        </w:trPr>
        <w:tc>
          <w:tcPr>
            <w:tcW w:w="491" w:type="dxa"/>
            <w:tcBorders>
              <w:top w:val="nil"/>
              <w:left w:val="nil"/>
              <w:bottom w:val="nil"/>
              <w:right w:val="nil"/>
            </w:tcBorders>
          </w:tcPr>
          <w:p w14:paraId="2B31011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5.</w:t>
            </w:r>
          </w:p>
        </w:tc>
        <w:tc>
          <w:tcPr>
            <w:tcW w:w="3920" w:type="dxa"/>
            <w:tcBorders>
              <w:top w:val="nil"/>
              <w:left w:val="nil"/>
              <w:bottom w:val="nil"/>
              <w:right w:val="nil"/>
            </w:tcBorders>
            <w:shd w:val="clear" w:color="auto" w:fill="auto"/>
            <w:noWrap/>
            <w:vAlign w:val="center"/>
            <w:hideMark/>
          </w:tcPr>
          <w:p w14:paraId="12046891"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Salaries and Wages</w:t>
            </w:r>
          </w:p>
        </w:tc>
        <w:tc>
          <w:tcPr>
            <w:tcW w:w="1480" w:type="dxa"/>
            <w:tcBorders>
              <w:top w:val="nil"/>
              <w:left w:val="nil"/>
              <w:bottom w:val="nil"/>
              <w:right w:val="nil"/>
            </w:tcBorders>
            <w:shd w:val="clear" w:color="auto" w:fill="auto"/>
            <w:noWrap/>
            <w:vAlign w:val="center"/>
            <w:hideMark/>
          </w:tcPr>
          <w:p w14:paraId="4E2C2A89"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36,200.00 </w:t>
            </w:r>
          </w:p>
        </w:tc>
        <w:tc>
          <w:tcPr>
            <w:tcW w:w="1440" w:type="dxa"/>
            <w:tcBorders>
              <w:top w:val="nil"/>
              <w:left w:val="nil"/>
              <w:bottom w:val="nil"/>
              <w:right w:val="nil"/>
            </w:tcBorders>
            <w:shd w:val="clear" w:color="auto" w:fill="auto"/>
            <w:noWrap/>
            <w:vAlign w:val="center"/>
            <w:hideMark/>
          </w:tcPr>
          <w:p w14:paraId="0F68BBE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3FFCBF7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03B6FFE8" w14:textId="77777777" w:rsidTr="005565B6">
        <w:trPr>
          <w:trHeight w:val="300"/>
          <w:jc w:val="center"/>
        </w:trPr>
        <w:tc>
          <w:tcPr>
            <w:tcW w:w="491" w:type="dxa"/>
            <w:tcBorders>
              <w:top w:val="nil"/>
              <w:left w:val="nil"/>
              <w:bottom w:val="nil"/>
              <w:right w:val="nil"/>
            </w:tcBorders>
          </w:tcPr>
          <w:p w14:paraId="3933CF5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6.</w:t>
            </w:r>
          </w:p>
        </w:tc>
        <w:tc>
          <w:tcPr>
            <w:tcW w:w="3920" w:type="dxa"/>
            <w:tcBorders>
              <w:top w:val="nil"/>
              <w:left w:val="nil"/>
              <w:bottom w:val="nil"/>
              <w:right w:val="nil"/>
            </w:tcBorders>
            <w:shd w:val="clear" w:color="auto" w:fill="auto"/>
            <w:noWrap/>
            <w:vAlign w:val="center"/>
            <w:hideMark/>
          </w:tcPr>
          <w:p w14:paraId="13A6389D"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Material and Supplies</w:t>
            </w:r>
          </w:p>
        </w:tc>
        <w:tc>
          <w:tcPr>
            <w:tcW w:w="1480" w:type="dxa"/>
            <w:tcBorders>
              <w:top w:val="nil"/>
              <w:left w:val="nil"/>
              <w:bottom w:val="nil"/>
              <w:right w:val="nil"/>
            </w:tcBorders>
            <w:shd w:val="clear" w:color="auto" w:fill="auto"/>
            <w:noWrap/>
            <w:vAlign w:val="center"/>
            <w:hideMark/>
          </w:tcPr>
          <w:p w14:paraId="6AD6AA1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4848F48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31D9985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0346ED52" w14:textId="77777777" w:rsidTr="005565B6">
        <w:trPr>
          <w:trHeight w:val="300"/>
          <w:jc w:val="center"/>
        </w:trPr>
        <w:tc>
          <w:tcPr>
            <w:tcW w:w="491" w:type="dxa"/>
            <w:tcBorders>
              <w:top w:val="nil"/>
              <w:left w:val="nil"/>
              <w:bottom w:val="nil"/>
              <w:right w:val="nil"/>
            </w:tcBorders>
          </w:tcPr>
          <w:p w14:paraId="1E840BC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7.</w:t>
            </w:r>
          </w:p>
        </w:tc>
        <w:tc>
          <w:tcPr>
            <w:tcW w:w="3920" w:type="dxa"/>
            <w:tcBorders>
              <w:top w:val="nil"/>
              <w:left w:val="nil"/>
              <w:bottom w:val="nil"/>
              <w:right w:val="nil"/>
            </w:tcBorders>
            <w:shd w:val="clear" w:color="auto" w:fill="auto"/>
            <w:noWrap/>
            <w:vAlign w:val="center"/>
            <w:hideMark/>
          </w:tcPr>
          <w:p w14:paraId="4AC47003"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Contract Services and Fees (Technology)</w:t>
            </w:r>
          </w:p>
        </w:tc>
        <w:tc>
          <w:tcPr>
            <w:tcW w:w="1480" w:type="dxa"/>
            <w:tcBorders>
              <w:top w:val="nil"/>
              <w:left w:val="nil"/>
              <w:bottom w:val="nil"/>
              <w:right w:val="nil"/>
            </w:tcBorders>
            <w:shd w:val="clear" w:color="auto" w:fill="auto"/>
            <w:noWrap/>
            <w:vAlign w:val="center"/>
            <w:hideMark/>
          </w:tcPr>
          <w:p w14:paraId="6D0A0F0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c>
          <w:tcPr>
            <w:tcW w:w="1440" w:type="dxa"/>
            <w:tcBorders>
              <w:top w:val="nil"/>
              <w:left w:val="nil"/>
              <w:bottom w:val="nil"/>
              <w:right w:val="nil"/>
            </w:tcBorders>
            <w:shd w:val="clear" w:color="auto" w:fill="auto"/>
            <w:noWrap/>
            <w:vAlign w:val="center"/>
            <w:hideMark/>
          </w:tcPr>
          <w:p w14:paraId="35F0A8D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c>
          <w:tcPr>
            <w:tcW w:w="1440" w:type="dxa"/>
            <w:tcBorders>
              <w:top w:val="nil"/>
              <w:left w:val="nil"/>
              <w:bottom w:val="nil"/>
              <w:right w:val="nil"/>
            </w:tcBorders>
            <w:shd w:val="clear" w:color="auto" w:fill="auto"/>
            <w:noWrap/>
            <w:vAlign w:val="center"/>
            <w:hideMark/>
          </w:tcPr>
          <w:p w14:paraId="6C89F34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r>
      <w:tr w:rsidR="005A5DA9" w:rsidRPr="0077750B" w14:paraId="53FE2426" w14:textId="77777777" w:rsidTr="005565B6">
        <w:trPr>
          <w:trHeight w:val="300"/>
          <w:jc w:val="center"/>
        </w:trPr>
        <w:tc>
          <w:tcPr>
            <w:tcW w:w="491" w:type="dxa"/>
            <w:tcBorders>
              <w:top w:val="nil"/>
              <w:left w:val="nil"/>
              <w:bottom w:val="nil"/>
              <w:right w:val="nil"/>
            </w:tcBorders>
          </w:tcPr>
          <w:p w14:paraId="530B267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8.</w:t>
            </w:r>
          </w:p>
        </w:tc>
        <w:tc>
          <w:tcPr>
            <w:tcW w:w="3920" w:type="dxa"/>
            <w:tcBorders>
              <w:top w:val="nil"/>
              <w:left w:val="nil"/>
              <w:bottom w:val="nil"/>
              <w:right w:val="nil"/>
            </w:tcBorders>
            <w:shd w:val="clear" w:color="auto" w:fill="auto"/>
            <w:noWrap/>
            <w:vAlign w:val="center"/>
            <w:hideMark/>
          </w:tcPr>
          <w:p w14:paraId="6DCEE471"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Depreciation and Amortization</w:t>
            </w:r>
          </w:p>
        </w:tc>
        <w:tc>
          <w:tcPr>
            <w:tcW w:w="1480" w:type="dxa"/>
            <w:tcBorders>
              <w:top w:val="nil"/>
              <w:left w:val="nil"/>
              <w:bottom w:val="nil"/>
              <w:right w:val="nil"/>
            </w:tcBorders>
            <w:shd w:val="clear" w:color="auto" w:fill="auto"/>
            <w:noWrap/>
            <w:vAlign w:val="center"/>
            <w:hideMark/>
          </w:tcPr>
          <w:p w14:paraId="351EABA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74ABEF0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02FD8C5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7934703F" w14:textId="77777777" w:rsidTr="005565B6">
        <w:trPr>
          <w:trHeight w:val="315"/>
          <w:jc w:val="center"/>
        </w:trPr>
        <w:tc>
          <w:tcPr>
            <w:tcW w:w="491" w:type="dxa"/>
            <w:tcBorders>
              <w:top w:val="nil"/>
              <w:left w:val="nil"/>
              <w:bottom w:val="nil"/>
              <w:right w:val="nil"/>
            </w:tcBorders>
          </w:tcPr>
          <w:p w14:paraId="57BD9C4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9.</w:t>
            </w:r>
          </w:p>
        </w:tc>
        <w:tc>
          <w:tcPr>
            <w:tcW w:w="3920" w:type="dxa"/>
            <w:tcBorders>
              <w:top w:val="nil"/>
              <w:left w:val="nil"/>
              <w:bottom w:val="nil"/>
              <w:right w:val="nil"/>
            </w:tcBorders>
            <w:shd w:val="clear" w:color="auto" w:fill="auto"/>
            <w:noWrap/>
            <w:vAlign w:val="center"/>
            <w:hideMark/>
          </w:tcPr>
          <w:p w14:paraId="20210B70"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Interest</w:t>
            </w:r>
          </w:p>
        </w:tc>
        <w:tc>
          <w:tcPr>
            <w:tcW w:w="1480" w:type="dxa"/>
            <w:tcBorders>
              <w:top w:val="nil"/>
              <w:left w:val="nil"/>
              <w:bottom w:val="single" w:sz="8" w:space="0" w:color="auto"/>
              <w:right w:val="nil"/>
            </w:tcBorders>
            <w:shd w:val="clear" w:color="auto" w:fill="auto"/>
            <w:noWrap/>
            <w:vAlign w:val="center"/>
            <w:hideMark/>
          </w:tcPr>
          <w:p w14:paraId="2EC091A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2CA0252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16BD5A0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5F0A2E60" w14:textId="77777777" w:rsidTr="005565B6">
        <w:trPr>
          <w:trHeight w:val="300"/>
          <w:jc w:val="center"/>
        </w:trPr>
        <w:tc>
          <w:tcPr>
            <w:tcW w:w="491" w:type="dxa"/>
            <w:tcBorders>
              <w:top w:val="nil"/>
              <w:left w:val="nil"/>
              <w:bottom w:val="nil"/>
              <w:right w:val="nil"/>
            </w:tcBorders>
          </w:tcPr>
          <w:p w14:paraId="6BC324A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10.</w:t>
            </w:r>
          </w:p>
        </w:tc>
        <w:tc>
          <w:tcPr>
            <w:tcW w:w="3920" w:type="dxa"/>
            <w:tcBorders>
              <w:top w:val="nil"/>
              <w:left w:val="nil"/>
              <w:bottom w:val="nil"/>
              <w:right w:val="nil"/>
            </w:tcBorders>
            <w:shd w:val="clear" w:color="auto" w:fill="auto"/>
            <w:noWrap/>
            <w:vAlign w:val="center"/>
            <w:hideMark/>
          </w:tcPr>
          <w:p w14:paraId="38633AE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Total Expense</w:t>
            </w:r>
          </w:p>
        </w:tc>
        <w:tc>
          <w:tcPr>
            <w:tcW w:w="1480" w:type="dxa"/>
            <w:tcBorders>
              <w:top w:val="nil"/>
              <w:left w:val="nil"/>
              <w:bottom w:val="nil"/>
              <w:right w:val="nil"/>
            </w:tcBorders>
            <w:shd w:val="clear" w:color="auto" w:fill="auto"/>
            <w:noWrap/>
            <w:vAlign w:val="center"/>
            <w:hideMark/>
          </w:tcPr>
          <w:p w14:paraId="51D73DA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44,200.00 </w:t>
            </w:r>
          </w:p>
        </w:tc>
        <w:tc>
          <w:tcPr>
            <w:tcW w:w="1440" w:type="dxa"/>
            <w:tcBorders>
              <w:top w:val="nil"/>
              <w:left w:val="nil"/>
              <w:bottom w:val="nil"/>
              <w:right w:val="nil"/>
            </w:tcBorders>
            <w:shd w:val="clear" w:color="auto" w:fill="auto"/>
            <w:noWrap/>
            <w:vAlign w:val="center"/>
            <w:hideMark/>
          </w:tcPr>
          <w:p w14:paraId="49642C8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c>
          <w:tcPr>
            <w:tcW w:w="1440" w:type="dxa"/>
            <w:tcBorders>
              <w:top w:val="nil"/>
              <w:left w:val="nil"/>
              <w:bottom w:val="nil"/>
              <w:right w:val="nil"/>
            </w:tcBorders>
            <w:shd w:val="clear" w:color="auto" w:fill="auto"/>
            <w:noWrap/>
            <w:vAlign w:val="center"/>
            <w:hideMark/>
          </w:tcPr>
          <w:p w14:paraId="230DAF4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8,000.00 </w:t>
            </w:r>
          </w:p>
        </w:tc>
      </w:tr>
      <w:tr w:rsidR="005A5DA9" w:rsidRPr="0077750B" w14:paraId="2AF38F26" w14:textId="77777777" w:rsidTr="005565B6">
        <w:trPr>
          <w:trHeight w:val="300"/>
          <w:jc w:val="center"/>
        </w:trPr>
        <w:tc>
          <w:tcPr>
            <w:tcW w:w="491" w:type="dxa"/>
            <w:tcBorders>
              <w:top w:val="nil"/>
              <w:left w:val="nil"/>
              <w:bottom w:val="single" w:sz="4" w:space="0" w:color="auto"/>
              <w:right w:val="nil"/>
            </w:tcBorders>
          </w:tcPr>
          <w:p w14:paraId="24A2152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single" w:sz="4" w:space="0" w:color="auto"/>
              <w:right w:val="nil"/>
            </w:tcBorders>
            <w:shd w:val="clear" w:color="auto" w:fill="auto"/>
            <w:noWrap/>
            <w:vAlign w:val="center"/>
            <w:hideMark/>
          </w:tcPr>
          <w:p w14:paraId="79136CA9"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1480" w:type="dxa"/>
            <w:tcBorders>
              <w:top w:val="nil"/>
              <w:left w:val="nil"/>
              <w:bottom w:val="single" w:sz="4" w:space="0" w:color="auto"/>
              <w:right w:val="nil"/>
            </w:tcBorders>
            <w:shd w:val="clear" w:color="auto" w:fill="auto"/>
            <w:noWrap/>
            <w:vAlign w:val="center"/>
            <w:hideMark/>
          </w:tcPr>
          <w:p w14:paraId="793C7F42"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single" w:sz="4" w:space="0" w:color="auto"/>
              <w:right w:val="nil"/>
            </w:tcBorders>
            <w:shd w:val="clear" w:color="auto" w:fill="auto"/>
            <w:noWrap/>
            <w:vAlign w:val="center"/>
            <w:hideMark/>
          </w:tcPr>
          <w:p w14:paraId="20EB0E86"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single" w:sz="4" w:space="0" w:color="auto"/>
              <w:right w:val="nil"/>
            </w:tcBorders>
            <w:shd w:val="clear" w:color="auto" w:fill="auto"/>
            <w:noWrap/>
            <w:vAlign w:val="center"/>
            <w:hideMark/>
          </w:tcPr>
          <w:p w14:paraId="7498F4C8"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1F86BD77" w14:textId="77777777" w:rsidTr="005565B6">
        <w:trPr>
          <w:trHeight w:val="300"/>
          <w:jc w:val="center"/>
        </w:trPr>
        <w:tc>
          <w:tcPr>
            <w:tcW w:w="491" w:type="dxa"/>
            <w:tcBorders>
              <w:top w:val="single" w:sz="4" w:space="0" w:color="auto"/>
              <w:left w:val="nil"/>
              <w:bottom w:val="single" w:sz="4" w:space="0" w:color="auto"/>
              <w:right w:val="nil"/>
            </w:tcBorders>
          </w:tcPr>
          <w:p w14:paraId="5CC76D4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11.</w:t>
            </w:r>
          </w:p>
        </w:tc>
        <w:tc>
          <w:tcPr>
            <w:tcW w:w="3920" w:type="dxa"/>
            <w:tcBorders>
              <w:top w:val="single" w:sz="4" w:space="0" w:color="auto"/>
              <w:left w:val="nil"/>
              <w:bottom w:val="single" w:sz="4" w:space="0" w:color="auto"/>
              <w:right w:val="nil"/>
            </w:tcBorders>
            <w:shd w:val="clear" w:color="auto" w:fill="auto"/>
            <w:noWrap/>
            <w:vAlign w:val="center"/>
            <w:hideMark/>
          </w:tcPr>
          <w:p w14:paraId="69B76F9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Net Income</w:t>
            </w:r>
          </w:p>
        </w:tc>
        <w:tc>
          <w:tcPr>
            <w:tcW w:w="1480" w:type="dxa"/>
            <w:tcBorders>
              <w:top w:val="single" w:sz="4" w:space="0" w:color="auto"/>
              <w:left w:val="nil"/>
              <w:bottom w:val="single" w:sz="4" w:space="0" w:color="auto"/>
              <w:right w:val="nil"/>
            </w:tcBorders>
            <w:shd w:val="clear" w:color="auto" w:fill="auto"/>
            <w:noWrap/>
            <w:vAlign w:val="center"/>
            <w:hideMark/>
          </w:tcPr>
          <w:p w14:paraId="3D41D6C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9,800.00 </w:t>
            </w:r>
          </w:p>
        </w:tc>
        <w:tc>
          <w:tcPr>
            <w:tcW w:w="1440" w:type="dxa"/>
            <w:tcBorders>
              <w:top w:val="single" w:sz="4" w:space="0" w:color="auto"/>
              <w:left w:val="nil"/>
              <w:bottom w:val="single" w:sz="4" w:space="0" w:color="auto"/>
              <w:right w:val="nil"/>
            </w:tcBorders>
            <w:shd w:val="clear" w:color="auto" w:fill="auto"/>
            <w:noWrap/>
            <w:vAlign w:val="center"/>
            <w:hideMark/>
          </w:tcPr>
          <w:p w14:paraId="21D9EDC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c>
          <w:tcPr>
            <w:tcW w:w="1440" w:type="dxa"/>
            <w:tcBorders>
              <w:top w:val="single" w:sz="4" w:space="0" w:color="auto"/>
              <w:left w:val="nil"/>
              <w:bottom w:val="single" w:sz="4" w:space="0" w:color="auto"/>
              <w:right w:val="nil"/>
            </w:tcBorders>
            <w:shd w:val="clear" w:color="auto" w:fill="auto"/>
            <w:noWrap/>
            <w:vAlign w:val="center"/>
            <w:hideMark/>
          </w:tcPr>
          <w:p w14:paraId="4083E8C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r>
      <w:tr w:rsidR="005A5DA9" w:rsidRPr="0077750B" w14:paraId="62BA5E97" w14:textId="77777777" w:rsidTr="005565B6">
        <w:trPr>
          <w:trHeight w:val="300"/>
          <w:jc w:val="center"/>
        </w:trPr>
        <w:tc>
          <w:tcPr>
            <w:tcW w:w="491" w:type="dxa"/>
            <w:tcBorders>
              <w:top w:val="single" w:sz="4" w:space="0" w:color="auto"/>
              <w:left w:val="nil"/>
              <w:bottom w:val="nil"/>
              <w:right w:val="nil"/>
            </w:tcBorders>
          </w:tcPr>
          <w:p w14:paraId="0F1F528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single" w:sz="4" w:space="0" w:color="auto"/>
              <w:left w:val="nil"/>
              <w:bottom w:val="nil"/>
              <w:right w:val="nil"/>
            </w:tcBorders>
            <w:shd w:val="clear" w:color="auto" w:fill="auto"/>
            <w:noWrap/>
            <w:vAlign w:val="center"/>
            <w:hideMark/>
          </w:tcPr>
          <w:p w14:paraId="3FADC5C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1480" w:type="dxa"/>
            <w:tcBorders>
              <w:top w:val="single" w:sz="4" w:space="0" w:color="auto"/>
              <w:left w:val="nil"/>
              <w:bottom w:val="nil"/>
              <w:right w:val="nil"/>
            </w:tcBorders>
            <w:shd w:val="clear" w:color="auto" w:fill="auto"/>
            <w:noWrap/>
            <w:vAlign w:val="center"/>
            <w:hideMark/>
          </w:tcPr>
          <w:p w14:paraId="0889611A"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195ED4F3"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661C3216"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2477EAB5" w14:textId="77777777" w:rsidTr="005565B6">
        <w:trPr>
          <w:trHeight w:val="300"/>
          <w:jc w:val="center"/>
        </w:trPr>
        <w:tc>
          <w:tcPr>
            <w:tcW w:w="491" w:type="dxa"/>
            <w:tcBorders>
              <w:top w:val="nil"/>
              <w:left w:val="nil"/>
              <w:bottom w:val="nil"/>
              <w:right w:val="nil"/>
            </w:tcBorders>
          </w:tcPr>
          <w:p w14:paraId="22CBB69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8280" w:type="dxa"/>
            <w:gridSpan w:val="4"/>
            <w:tcBorders>
              <w:top w:val="nil"/>
              <w:left w:val="nil"/>
              <w:bottom w:val="nil"/>
              <w:right w:val="nil"/>
            </w:tcBorders>
            <w:shd w:val="clear" w:color="auto" w:fill="auto"/>
            <w:noWrap/>
            <w:vAlign w:val="center"/>
            <w:hideMark/>
          </w:tcPr>
          <w:p w14:paraId="7C27F892"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Cash Flow</w:t>
            </w:r>
          </w:p>
        </w:tc>
      </w:tr>
      <w:tr w:rsidR="005A5DA9" w:rsidRPr="0077750B" w14:paraId="1DEF643F" w14:textId="77777777" w:rsidTr="005565B6">
        <w:trPr>
          <w:trHeight w:val="300"/>
          <w:jc w:val="center"/>
        </w:trPr>
        <w:tc>
          <w:tcPr>
            <w:tcW w:w="491" w:type="dxa"/>
            <w:tcBorders>
              <w:top w:val="nil"/>
              <w:left w:val="nil"/>
              <w:bottom w:val="nil"/>
              <w:right w:val="nil"/>
            </w:tcBorders>
          </w:tcPr>
          <w:p w14:paraId="2773EA5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24F2A5A3"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Sources</w:t>
            </w:r>
          </w:p>
        </w:tc>
        <w:tc>
          <w:tcPr>
            <w:tcW w:w="1480" w:type="dxa"/>
            <w:tcBorders>
              <w:top w:val="nil"/>
              <w:left w:val="nil"/>
              <w:bottom w:val="nil"/>
              <w:right w:val="nil"/>
            </w:tcBorders>
            <w:shd w:val="clear" w:color="auto" w:fill="auto"/>
            <w:noWrap/>
            <w:vAlign w:val="center"/>
            <w:hideMark/>
          </w:tcPr>
          <w:p w14:paraId="0BC92C5E"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1</w:t>
            </w:r>
          </w:p>
        </w:tc>
        <w:tc>
          <w:tcPr>
            <w:tcW w:w="1440" w:type="dxa"/>
            <w:tcBorders>
              <w:top w:val="nil"/>
              <w:left w:val="nil"/>
              <w:bottom w:val="nil"/>
              <w:right w:val="nil"/>
            </w:tcBorders>
            <w:shd w:val="clear" w:color="auto" w:fill="auto"/>
            <w:noWrap/>
            <w:vAlign w:val="center"/>
            <w:hideMark/>
          </w:tcPr>
          <w:p w14:paraId="3FB7D6EF"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2</w:t>
            </w:r>
          </w:p>
        </w:tc>
        <w:tc>
          <w:tcPr>
            <w:tcW w:w="1440" w:type="dxa"/>
            <w:tcBorders>
              <w:top w:val="nil"/>
              <w:left w:val="nil"/>
              <w:bottom w:val="nil"/>
              <w:right w:val="nil"/>
            </w:tcBorders>
            <w:shd w:val="clear" w:color="auto" w:fill="auto"/>
            <w:noWrap/>
            <w:vAlign w:val="center"/>
            <w:hideMark/>
          </w:tcPr>
          <w:p w14:paraId="0ABD5EED"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3</w:t>
            </w:r>
          </w:p>
        </w:tc>
      </w:tr>
      <w:tr w:rsidR="005A5DA9" w:rsidRPr="0077750B" w14:paraId="1FD0696D" w14:textId="77777777" w:rsidTr="005565B6">
        <w:trPr>
          <w:trHeight w:val="300"/>
          <w:jc w:val="center"/>
        </w:trPr>
        <w:tc>
          <w:tcPr>
            <w:tcW w:w="491" w:type="dxa"/>
            <w:tcBorders>
              <w:top w:val="nil"/>
              <w:left w:val="nil"/>
              <w:bottom w:val="nil"/>
              <w:right w:val="nil"/>
            </w:tcBorders>
          </w:tcPr>
          <w:p w14:paraId="03E5769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12.</w:t>
            </w:r>
          </w:p>
        </w:tc>
        <w:tc>
          <w:tcPr>
            <w:tcW w:w="3920" w:type="dxa"/>
            <w:tcBorders>
              <w:top w:val="nil"/>
              <w:left w:val="nil"/>
              <w:bottom w:val="nil"/>
              <w:right w:val="nil"/>
            </w:tcBorders>
            <w:shd w:val="clear" w:color="auto" w:fill="auto"/>
            <w:noWrap/>
            <w:vAlign w:val="center"/>
            <w:hideMark/>
          </w:tcPr>
          <w:p w14:paraId="15025C90"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Net Income</w:t>
            </w:r>
          </w:p>
        </w:tc>
        <w:tc>
          <w:tcPr>
            <w:tcW w:w="1480" w:type="dxa"/>
            <w:tcBorders>
              <w:top w:val="nil"/>
              <w:left w:val="nil"/>
              <w:bottom w:val="nil"/>
              <w:right w:val="nil"/>
            </w:tcBorders>
            <w:shd w:val="clear" w:color="auto" w:fill="auto"/>
            <w:noWrap/>
            <w:vAlign w:val="center"/>
            <w:hideMark/>
          </w:tcPr>
          <w:p w14:paraId="16A5C98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9,800.00 </w:t>
            </w:r>
          </w:p>
        </w:tc>
        <w:tc>
          <w:tcPr>
            <w:tcW w:w="1440" w:type="dxa"/>
            <w:tcBorders>
              <w:top w:val="nil"/>
              <w:left w:val="nil"/>
              <w:bottom w:val="nil"/>
              <w:right w:val="nil"/>
            </w:tcBorders>
            <w:shd w:val="clear" w:color="auto" w:fill="auto"/>
            <w:noWrap/>
            <w:vAlign w:val="center"/>
            <w:hideMark/>
          </w:tcPr>
          <w:p w14:paraId="7130B88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c>
          <w:tcPr>
            <w:tcW w:w="1440" w:type="dxa"/>
            <w:tcBorders>
              <w:top w:val="nil"/>
              <w:left w:val="nil"/>
              <w:bottom w:val="nil"/>
              <w:right w:val="nil"/>
            </w:tcBorders>
            <w:shd w:val="clear" w:color="auto" w:fill="auto"/>
            <w:noWrap/>
            <w:vAlign w:val="center"/>
            <w:hideMark/>
          </w:tcPr>
          <w:p w14:paraId="7524CCC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r>
      <w:tr w:rsidR="005A5DA9" w:rsidRPr="0077750B" w14:paraId="7BB41D20" w14:textId="77777777" w:rsidTr="005565B6">
        <w:trPr>
          <w:trHeight w:val="300"/>
          <w:jc w:val="center"/>
        </w:trPr>
        <w:tc>
          <w:tcPr>
            <w:tcW w:w="491" w:type="dxa"/>
            <w:tcBorders>
              <w:top w:val="nil"/>
              <w:left w:val="nil"/>
              <w:bottom w:val="nil"/>
              <w:right w:val="nil"/>
            </w:tcBorders>
          </w:tcPr>
          <w:p w14:paraId="1969359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13.</w:t>
            </w:r>
          </w:p>
        </w:tc>
        <w:tc>
          <w:tcPr>
            <w:tcW w:w="3920" w:type="dxa"/>
            <w:tcBorders>
              <w:top w:val="nil"/>
              <w:left w:val="nil"/>
              <w:bottom w:val="nil"/>
              <w:right w:val="nil"/>
            </w:tcBorders>
            <w:shd w:val="clear" w:color="auto" w:fill="auto"/>
            <w:noWrap/>
            <w:vAlign w:val="center"/>
            <w:hideMark/>
          </w:tcPr>
          <w:p w14:paraId="7438D3A4"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Depreciation</w:t>
            </w:r>
          </w:p>
        </w:tc>
        <w:tc>
          <w:tcPr>
            <w:tcW w:w="1480" w:type="dxa"/>
            <w:tcBorders>
              <w:top w:val="nil"/>
              <w:left w:val="nil"/>
              <w:bottom w:val="nil"/>
              <w:right w:val="nil"/>
            </w:tcBorders>
            <w:shd w:val="clear" w:color="auto" w:fill="auto"/>
            <w:noWrap/>
            <w:vAlign w:val="center"/>
            <w:hideMark/>
          </w:tcPr>
          <w:p w14:paraId="431C1DD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28B24E5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5B7391F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6E9A0D5B" w14:textId="77777777" w:rsidTr="005565B6">
        <w:trPr>
          <w:trHeight w:val="315"/>
          <w:jc w:val="center"/>
        </w:trPr>
        <w:tc>
          <w:tcPr>
            <w:tcW w:w="491" w:type="dxa"/>
            <w:tcBorders>
              <w:top w:val="nil"/>
              <w:left w:val="nil"/>
              <w:bottom w:val="nil"/>
              <w:right w:val="nil"/>
            </w:tcBorders>
          </w:tcPr>
          <w:p w14:paraId="47CE57C0"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14.</w:t>
            </w:r>
          </w:p>
        </w:tc>
        <w:tc>
          <w:tcPr>
            <w:tcW w:w="3920" w:type="dxa"/>
            <w:tcBorders>
              <w:top w:val="nil"/>
              <w:left w:val="nil"/>
              <w:bottom w:val="nil"/>
              <w:right w:val="nil"/>
            </w:tcBorders>
            <w:shd w:val="clear" w:color="auto" w:fill="auto"/>
            <w:noWrap/>
            <w:vAlign w:val="center"/>
            <w:hideMark/>
          </w:tcPr>
          <w:p w14:paraId="520935CB"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Borrowing</w:t>
            </w:r>
          </w:p>
        </w:tc>
        <w:tc>
          <w:tcPr>
            <w:tcW w:w="1480" w:type="dxa"/>
            <w:tcBorders>
              <w:top w:val="nil"/>
              <w:left w:val="nil"/>
              <w:bottom w:val="single" w:sz="8" w:space="0" w:color="auto"/>
              <w:right w:val="nil"/>
            </w:tcBorders>
            <w:shd w:val="clear" w:color="auto" w:fill="auto"/>
            <w:noWrap/>
            <w:vAlign w:val="center"/>
            <w:hideMark/>
          </w:tcPr>
          <w:p w14:paraId="46618CC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27638F6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31824B9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401D161E" w14:textId="77777777" w:rsidTr="005565B6">
        <w:trPr>
          <w:trHeight w:val="300"/>
          <w:jc w:val="center"/>
        </w:trPr>
        <w:tc>
          <w:tcPr>
            <w:tcW w:w="491" w:type="dxa"/>
            <w:tcBorders>
              <w:top w:val="nil"/>
              <w:left w:val="nil"/>
              <w:bottom w:val="nil"/>
              <w:right w:val="nil"/>
            </w:tcBorders>
          </w:tcPr>
          <w:p w14:paraId="26FF5CC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15.</w:t>
            </w:r>
          </w:p>
        </w:tc>
        <w:tc>
          <w:tcPr>
            <w:tcW w:w="3920" w:type="dxa"/>
            <w:tcBorders>
              <w:top w:val="nil"/>
              <w:left w:val="nil"/>
              <w:bottom w:val="nil"/>
              <w:right w:val="nil"/>
            </w:tcBorders>
            <w:shd w:val="clear" w:color="auto" w:fill="auto"/>
            <w:noWrap/>
            <w:vAlign w:val="center"/>
            <w:hideMark/>
          </w:tcPr>
          <w:p w14:paraId="2D97674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Total Sources</w:t>
            </w:r>
          </w:p>
        </w:tc>
        <w:tc>
          <w:tcPr>
            <w:tcW w:w="1480" w:type="dxa"/>
            <w:tcBorders>
              <w:top w:val="nil"/>
              <w:left w:val="nil"/>
              <w:bottom w:val="nil"/>
              <w:right w:val="nil"/>
            </w:tcBorders>
            <w:shd w:val="clear" w:color="auto" w:fill="auto"/>
            <w:noWrap/>
            <w:vAlign w:val="center"/>
            <w:hideMark/>
          </w:tcPr>
          <w:p w14:paraId="2461197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9,800.00 </w:t>
            </w:r>
          </w:p>
        </w:tc>
        <w:tc>
          <w:tcPr>
            <w:tcW w:w="1440" w:type="dxa"/>
            <w:tcBorders>
              <w:top w:val="nil"/>
              <w:left w:val="nil"/>
              <w:bottom w:val="nil"/>
              <w:right w:val="nil"/>
            </w:tcBorders>
            <w:shd w:val="clear" w:color="auto" w:fill="auto"/>
            <w:noWrap/>
            <w:vAlign w:val="center"/>
            <w:hideMark/>
          </w:tcPr>
          <w:p w14:paraId="3C1A661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c>
          <w:tcPr>
            <w:tcW w:w="1440" w:type="dxa"/>
            <w:tcBorders>
              <w:top w:val="nil"/>
              <w:left w:val="nil"/>
              <w:bottom w:val="nil"/>
              <w:right w:val="nil"/>
            </w:tcBorders>
            <w:shd w:val="clear" w:color="auto" w:fill="auto"/>
            <w:noWrap/>
            <w:vAlign w:val="center"/>
            <w:hideMark/>
          </w:tcPr>
          <w:p w14:paraId="5BCC1A6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r>
      <w:tr w:rsidR="005A5DA9" w:rsidRPr="0077750B" w14:paraId="51839D44" w14:textId="77777777" w:rsidTr="005565B6">
        <w:trPr>
          <w:trHeight w:val="300"/>
          <w:jc w:val="center"/>
        </w:trPr>
        <w:tc>
          <w:tcPr>
            <w:tcW w:w="491" w:type="dxa"/>
            <w:tcBorders>
              <w:top w:val="nil"/>
              <w:left w:val="nil"/>
              <w:bottom w:val="nil"/>
              <w:right w:val="nil"/>
            </w:tcBorders>
          </w:tcPr>
          <w:p w14:paraId="36E641A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3A72A6AC"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Uses</w:t>
            </w:r>
          </w:p>
        </w:tc>
        <w:tc>
          <w:tcPr>
            <w:tcW w:w="1480" w:type="dxa"/>
            <w:tcBorders>
              <w:top w:val="nil"/>
              <w:left w:val="nil"/>
              <w:bottom w:val="nil"/>
              <w:right w:val="nil"/>
            </w:tcBorders>
            <w:shd w:val="clear" w:color="auto" w:fill="auto"/>
            <w:noWrap/>
            <w:vAlign w:val="center"/>
            <w:hideMark/>
          </w:tcPr>
          <w:p w14:paraId="5B70F4FE"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p>
        </w:tc>
        <w:tc>
          <w:tcPr>
            <w:tcW w:w="1440" w:type="dxa"/>
            <w:tcBorders>
              <w:top w:val="nil"/>
              <w:left w:val="nil"/>
              <w:bottom w:val="nil"/>
              <w:right w:val="nil"/>
            </w:tcBorders>
            <w:shd w:val="clear" w:color="auto" w:fill="auto"/>
            <w:noWrap/>
            <w:vAlign w:val="center"/>
            <w:hideMark/>
          </w:tcPr>
          <w:p w14:paraId="17738C51"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nil"/>
              <w:right w:val="nil"/>
            </w:tcBorders>
            <w:shd w:val="clear" w:color="auto" w:fill="auto"/>
            <w:noWrap/>
            <w:vAlign w:val="center"/>
            <w:hideMark/>
          </w:tcPr>
          <w:p w14:paraId="46DAC350"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4FFF1184" w14:textId="77777777" w:rsidTr="005565B6">
        <w:trPr>
          <w:trHeight w:val="300"/>
          <w:jc w:val="center"/>
        </w:trPr>
        <w:tc>
          <w:tcPr>
            <w:tcW w:w="491" w:type="dxa"/>
            <w:tcBorders>
              <w:top w:val="nil"/>
              <w:left w:val="nil"/>
              <w:bottom w:val="nil"/>
              <w:right w:val="nil"/>
            </w:tcBorders>
          </w:tcPr>
          <w:p w14:paraId="4135254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16.</w:t>
            </w:r>
          </w:p>
        </w:tc>
        <w:tc>
          <w:tcPr>
            <w:tcW w:w="3920" w:type="dxa"/>
            <w:tcBorders>
              <w:top w:val="nil"/>
              <w:left w:val="nil"/>
              <w:bottom w:val="nil"/>
              <w:right w:val="nil"/>
            </w:tcBorders>
            <w:shd w:val="clear" w:color="auto" w:fill="auto"/>
            <w:noWrap/>
            <w:vAlign w:val="center"/>
            <w:hideMark/>
          </w:tcPr>
          <w:p w14:paraId="2EE4CE85"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Capital purchasing</w:t>
            </w:r>
          </w:p>
        </w:tc>
        <w:tc>
          <w:tcPr>
            <w:tcW w:w="1480" w:type="dxa"/>
            <w:tcBorders>
              <w:top w:val="nil"/>
              <w:left w:val="nil"/>
              <w:bottom w:val="nil"/>
              <w:right w:val="nil"/>
            </w:tcBorders>
            <w:shd w:val="clear" w:color="auto" w:fill="auto"/>
            <w:noWrap/>
            <w:vAlign w:val="center"/>
            <w:hideMark/>
          </w:tcPr>
          <w:p w14:paraId="1AD38C1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9,000.00 </w:t>
            </w:r>
          </w:p>
        </w:tc>
        <w:tc>
          <w:tcPr>
            <w:tcW w:w="1440" w:type="dxa"/>
            <w:tcBorders>
              <w:top w:val="nil"/>
              <w:left w:val="nil"/>
              <w:bottom w:val="nil"/>
              <w:right w:val="nil"/>
            </w:tcBorders>
            <w:shd w:val="clear" w:color="auto" w:fill="auto"/>
            <w:noWrap/>
            <w:vAlign w:val="center"/>
            <w:hideMark/>
          </w:tcPr>
          <w:p w14:paraId="40B2755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194D92A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7D26CFA1" w14:textId="77777777" w:rsidTr="005565B6">
        <w:trPr>
          <w:trHeight w:val="315"/>
          <w:jc w:val="center"/>
        </w:trPr>
        <w:tc>
          <w:tcPr>
            <w:tcW w:w="491" w:type="dxa"/>
            <w:tcBorders>
              <w:top w:val="nil"/>
              <w:left w:val="nil"/>
              <w:bottom w:val="nil"/>
              <w:right w:val="nil"/>
            </w:tcBorders>
          </w:tcPr>
          <w:p w14:paraId="074FC56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17.</w:t>
            </w:r>
          </w:p>
        </w:tc>
        <w:tc>
          <w:tcPr>
            <w:tcW w:w="3920" w:type="dxa"/>
            <w:tcBorders>
              <w:top w:val="nil"/>
              <w:left w:val="nil"/>
              <w:bottom w:val="nil"/>
              <w:right w:val="nil"/>
            </w:tcBorders>
            <w:shd w:val="clear" w:color="auto" w:fill="auto"/>
            <w:noWrap/>
            <w:vAlign w:val="center"/>
            <w:hideMark/>
          </w:tcPr>
          <w:p w14:paraId="1A55C396"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Working Capital</w:t>
            </w:r>
          </w:p>
        </w:tc>
        <w:tc>
          <w:tcPr>
            <w:tcW w:w="1480" w:type="dxa"/>
            <w:tcBorders>
              <w:top w:val="nil"/>
              <w:left w:val="nil"/>
              <w:bottom w:val="single" w:sz="8" w:space="0" w:color="auto"/>
              <w:right w:val="nil"/>
            </w:tcBorders>
            <w:shd w:val="clear" w:color="auto" w:fill="auto"/>
            <w:noWrap/>
            <w:vAlign w:val="center"/>
            <w:hideMark/>
          </w:tcPr>
          <w:p w14:paraId="673D14E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2D58B43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single" w:sz="8" w:space="0" w:color="auto"/>
              <w:right w:val="nil"/>
            </w:tcBorders>
            <w:shd w:val="clear" w:color="auto" w:fill="auto"/>
            <w:noWrap/>
            <w:vAlign w:val="center"/>
            <w:hideMark/>
          </w:tcPr>
          <w:p w14:paraId="3F06A64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506902E7" w14:textId="77777777" w:rsidTr="005565B6">
        <w:trPr>
          <w:trHeight w:val="300"/>
          <w:jc w:val="center"/>
        </w:trPr>
        <w:tc>
          <w:tcPr>
            <w:tcW w:w="491" w:type="dxa"/>
            <w:tcBorders>
              <w:top w:val="nil"/>
              <w:left w:val="nil"/>
              <w:bottom w:val="nil"/>
              <w:right w:val="nil"/>
            </w:tcBorders>
          </w:tcPr>
          <w:p w14:paraId="54F856C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18.</w:t>
            </w:r>
          </w:p>
        </w:tc>
        <w:tc>
          <w:tcPr>
            <w:tcW w:w="3920" w:type="dxa"/>
            <w:tcBorders>
              <w:top w:val="nil"/>
              <w:left w:val="nil"/>
              <w:bottom w:val="nil"/>
              <w:right w:val="nil"/>
            </w:tcBorders>
            <w:shd w:val="clear" w:color="auto" w:fill="auto"/>
            <w:noWrap/>
            <w:vAlign w:val="center"/>
            <w:hideMark/>
          </w:tcPr>
          <w:p w14:paraId="562559A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Total Uses</w:t>
            </w:r>
          </w:p>
        </w:tc>
        <w:tc>
          <w:tcPr>
            <w:tcW w:w="1480" w:type="dxa"/>
            <w:tcBorders>
              <w:top w:val="nil"/>
              <w:left w:val="nil"/>
              <w:bottom w:val="nil"/>
              <w:right w:val="nil"/>
            </w:tcBorders>
            <w:shd w:val="clear" w:color="auto" w:fill="auto"/>
            <w:noWrap/>
            <w:vAlign w:val="center"/>
            <w:hideMark/>
          </w:tcPr>
          <w:p w14:paraId="71EDE55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9,000.00 </w:t>
            </w:r>
          </w:p>
        </w:tc>
        <w:tc>
          <w:tcPr>
            <w:tcW w:w="1440" w:type="dxa"/>
            <w:tcBorders>
              <w:top w:val="nil"/>
              <w:left w:val="nil"/>
              <w:bottom w:val="nil"/>
              <w:right w:val="nil"/>
            </w:tcBorders>
            <w:shd w:val="clear" w:color="auto" w:fill="auto"/>
            <w:noWrap/>
            <w:vAlign w:val="center"/>
            <w:hideMark/>
          </w:tcPr>
          <w:p w14:paraId="4E84FE5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5F1F576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r>
      <w:tr w:rsidR="005A5DA9" w:rsidRPr="0077750B" w14:paraId="11F7F1DE" w14:textId="77777777" w:rsidTr="005565B6">
        <w:trPr>
          <w:trHeight w:val="300"/>
          <w:jc w:val="center"/>
        </w:trPr>
        <w:tc>
          <w:tcPr>
            <w:tcW w:w="491" w:type="dxa"/>
            <w:tcBorders>
              <w:top w:val="nil"/>
              <w:left w:val="nil"/>
              <w:bottom w:val="nil"/>
              <w:right w:val="nil"/>
            </w:tcBorders>
          </w:tcPr>
          <w:p w14:paraId="67A134C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2E71ABFA"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1480" w:type="dxa"/>
            <w:tcBorders>
              <w:top w:val="nil"/>
              <w:left w:val="nil"/>
              <w:bottom w:val="nil"/>
              <w:right w:val="nil"/>
            </w:tcBorders>
            <w:shd w:val="clear" w:color="auto" w:fill="auto"/>
            <w:noWrap/>
            <w:vAlign w:val="center"/>
            <w:hideMark/>
          </w:tcPr>
          <w:p w14:paraId="59DF63D2"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nil"/>
              <w:right w:val="nil"/>
            </w:tcBorders>
            <w:shd w:val="clear" w:color="auto" w:fill="auto"/>
            <w:noWrap/>
            <w:vAlign w:val="center"/>
            <w:hideMark/>
          </w:tcPr>
          <w:p w14:paraId="6A054C7F"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nil"/>
              <w:left w:val="nil"/>
              <w:bottom w:val="nil"/>
              <w:right w:val="nil"/>
            </w:tcBorders>
            <w:shd w:val="clear" w:color="auto" w:fill="auto"/>
            <w:noWrap/>
            <w:vAlign w:val="center"/>
            <w:hideMark/>
          </w:tcPr>
          <w:p w14:paraId="6854A2D7"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44DEFF15" w14:textId="77777777" w:rsidTr="005565B6">
        <w:trPr>
          <w:trHeight w:val="300"/>
          <w:jc w:val="center"/>
        </w:trPr>
        <w:tc>
          <w:tcPr>
            <w:tcW w:w="491" w:type="dxa"/>
            <w:tcBorders>
              <w:top w:val="nil"/>
              <w:left w:val="nil"/>
              <w:bottom w:val="nil"/>
              <w:right w:val="nil"/>
            </w:tcBorders>
          </w:tcPr>
          <w:p w14:paraId="70068A5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19.</w:t>
            </w:r>
          </w:p>
        </w:tc>
        <w:tc>
          <w:tcPr>
            <w:tcW w:w="3920" w:type="dxa"/>
            <w:tcBorders>
              <w:top w:val="nil"/>
              <w:left w:val="nil"/>
              <w:bottom w:val="nil"/>
              <w:right w:val="nil"/>
            </w:tcBorders>
            <w:shd w:val="clear" w:color="auto" w:fill="auto"/>
            <w:noWrap/>
            <w:vAlign w:val="center"/>
            <w:hideMark/>
          </w:tcPr>
          <w:p w14:paraId="45F7253E"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Cash at Beginning of Period</w:t>
            </w:r>
          </w:p>
        </w:tc>
        <w:tc>
          <w:tcPr>
            <w:tcW w:w="1480" w:type="dxa"/>
            <w:tcBorders>
              <w:top w:val="nil"/>
              <w:left w:val="nil"/>
              <w:bottom w:val="nil"/>
              <w:right w:val="nil"/>
            </w:tcBorders>
            <w:shd w:val="clear" w:color="auto" w:fill="auto"/>
            <w:noWrap/>
            <w:vAlign w:val="center"/>
            <w:hideMark/>
          </w:tcPr>
          <w:p w14:paraId="355CA759"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   </w:t>
            </w:r>
          </w:p>
        </w:tc>
        <w:tc>
          <w:tcPr>
            <w:tcW w:w="1440" w:type="dxa"/>
            <w:tcBorders>
              <w:top w:val="nil"/>
              <w:left w:val="nil"/>
              <w:bottom w:val="nil"/>
              <w:right w:val="nil"/>
            </w:tcBorders>
            <w:shd w:val="clear" w:color="auto" w:fill="auto"/>
            <w:noWrap/>
            <w:vAlign w:val="center"/>
            <w:hideMark/>
          </w:tcPr>
          <w:p w14:paraId="3E8CC36B"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 </w:t>
            </w:r>
          </w:p>
        </w:tc>
        <w:tc>
          <w:tcPr>
            <w:tcW w:w="1440" w:type="dxa"/>
            <w:tcBorders>
              <w:top w:val="nil"/>
              <w:left w:val="nil"/>
              <w:bottom w:val="nil"/>
              <w:right w:val="nil"/>
            </w:tcBorders>
            <w:shd w:val="clear" w:color="auto" w:fill="auto"/>
            <w:noWrap/>
            <w:vAlign w:val="center"/>
            <w:hideMark/>
          </w:tcPr>
          <w:p w14:paraId="3931C1A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36,000.00 </w:t>
            </w:r>
          </w:p>
        </w:tc>
      </w:tr>
      <w:tr w:rsidR="005A5DA9" w:rsidRPr="0077750B" w14:paraId="78D12D2E" w14:textId="77777777" w:rsidTr="005565B6">
        <w:trPr>
          <w:trHeight w:val="315"/>
          <w:jc w:val="center"/>
        </w:trPr>
        <w:tc>
          <w:tcPr>
            <w:tcW w:w="491" w:type="dxa"/>
            <w:tcBorders>
              <w:top w:val="nil"/>
              <w:left w:val="nil"/>
              <w:bottom w:val="single" w:sz="4" w:space="0" w:color="auto"/>
              <w:right w:val="nil"/>
            </w:tcBorders>
          </w:tcPr>
          <w:p w14:paraId="39EC932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20.</w:t>
            </w:r>
          </w:p>
        </w:tc>
        <w:tc>
          <w:tcPr>
            <w:tcW w:w="3920" w:type="dxa"/>
            <w:tcBorders>
              <w:top w:val="nil"/>
              <w:left w:val="nil"/>
              <w:bottom w:val="single" w:sz="4" w:space="0" w:color="auto"/>
              <w:right w:val="nil"/>
            </w:tcBorders>
            <w:shd w:val="clear" w:color="auto" w:fill="auto"/>
            <w:noWrap/>
            <w:vAlign w:val="center"/>
            <w:hideMark/>
          </w:tcPr>
          <w:p w14:paraId="43D741A6"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Net Cash Activities</w:t>
            </w:r>
          </w:p>
        </w:tc>
        <w:tc>
          <w:tcPr>
            <w:tcW w:w="1480" w:type="dxa"/>
            <w:tcBorders>
              <w:top w:val="nil"/>
              <w:left w:val="nil"/>
              <w:bottom w:val="single" w:sz="4" w:space="0" w:color="auto"/>
              <w:right w:val="nil"/>
            </w:tcBorders>
            <w:shd w:val="clear" w:color="auto" w:fill="auto"/>
            <w:noWrap/>
            <w:vAlign w:val="center"/>
            <w:hideMark/>
          </w:tcPr>
          <w:p w14:paraId="33FE536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 </w:t>
            </w:r>
          </w:p>
        </w:tc>
        <w:tc>
          <w:tcPr>
            <w:tcW w:w="1440" w:type="dxa"/>
            <w:tcBorders>
              <w:top w:val="nil"/>
              <w:left w:val="nil"/>
              <w:bottom w:val="single" w:sz="4" w:space="0" w:color="auto"/>
              <w:right w:val="nil"/>
            </w:tcBorders>
            <w:shd w:val="clear" w:color="auto" w:fill="auto"/>
            <w:noWrap/>
            <w:vAlign w:val="center"/>
            <w:hideMark/>
          </w:tcPr>
          <w:p w14:paraId="3ED23E94"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c>
          <w:tcPr>
            <w:tcW w:w="1440" w:type="dxa"/>
            <w:tcBorders>
              <w:top w:val="nil"/>
              <w:left w:val="nil"/>
              <w:bottom w:val="single" w:sz="4" w:space="0" w:color="auto"/>
              <w:right w:val="nil"/>
            </w:tcBorders>
            <w:shd w:val="clear" w:color="auto" w:fill="auto"/>
            <w:noWrap/>
            <w:vAlign w:val="center"/>
            <w:hideMark/>
          </w:tcPr>
          <w:p w14:paraId="22B79B6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35,200.00 </w:t>
            </w:r>
          </w:p>
        </w:tc>
      </w:tr>
      <w:tr w:rsidR="005A5DA9" w:rsidRPr="0077750B" w14:paraId="7216C157" w14:textId="77777777" w:rsidTr="005565B6">
        <w:trPr>
          <w:trHeight w:val="300"/>
          <w:jc w:val="center"/>
        </w:trPr>
        <w:tc>
          <w:tcPr>
            <w:tcW w:w="491" w:type="dxa"/>
            <w:tcBorders>
              <w:top w:val="single" w:sz="4" w:space="0" w:color="auto"/>
              <w:left w:val="nil"/>
              <w:bottom w:val="single" w:sz="4" w:space="0" w:color="auto"/>
              <w:right w:val="nil"/>
            </w:tcBorders>
          </w:tcPr>
          <w:p w14:paraId="0BBF4675"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21.</w:t>
            </w:r>
          </w:p>
        </w:tc>
        <w:tc>
          <w:tcPr>
            <w:tcW w:w="3920" w:type="dxa"/>
            <w:tcBorders>
              <w:top w:val="single" w:sz="4" w:space="0" w:color="auto"/>
              <w:left w:val="nil"/>
              <w:bottom w:val="single" w:sz="4" w:space="0" w:color="auto"/>
              <w:right w:val="nil"/>
            </w:tcBorders>
            <w:shd w:val="clear" w:color="auto" w:fill="auto"/>
            <w:noWrap/>
            <w:vAlign w:val="center"/>
            <w:hideMark/>
          </w:tcPr>
          <w:p w14:paraId="43FEBD03"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Cash at Ending of Period</w:t>
            </w:r>
          </w:p>
        </w:tc>
        <w:tc>
          <w:tcPr>
            <w:tcW w:w="1480" w:type="dxa"/>
            <w:tcBorders>
              <w:top w:val="single" w:sz="4" w:space="0" w:color="auto"/>
              <w:left w:val="nil"/>
              <w:bottom w:val="single" w:sz="4" w:space="0" w:color="auto"/>
              <w:right w:val="nil"/>
            </w:tcBorders>
            <w:shd w:val="clear" w:color="auto" w:fill="auto"/>
            <w:noWrap/>
            <w:vAlign w:val="center"/>
            <w:hideMark/>
          </w:tcPr>
          <w:p w14:paraId="1EA5F302"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800.00 </w:t>
            </w:r>
          </w:p>
        </w:tc>
        <w:tc>
          <w:tcPr>
            <w:tcW w:w="1440" w:type="dxa"/>
            <w:tcBorders>
              <w:top w:val="single" w:sz="4" w:space="0" w:color="auto"/>
              <w:left w:val="nil"/>
              <w:bottom w:val="single" w:sz="4" w:space="0" w:color="auto"/>
              <w:right w:val="nil"/>
            </w:tcBorders>
            <w:shd w:val="clear" w:color="auto" w:fill="auto"/>
            <w:noWrap/>
            <w:vAlign w:val="center"/>
            <w:hideMark/>
          </w:tcPr>
          <w:p w14:paraId="5F68622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36,000.00 </w:t>
            </w:r>
          </w:p>
        </w:tc>
        <w:tc>
          <w:tcPr>
            <w:tcW w:w="1440" w:type="dxa"/>
            <w:tcBorders>
              <w:top w:val="single" w:sz="4" w:space="0" w:color="auto"/>
              <w:left w:val="nil"/>
              <w:bottom w:val="single" w:sz="4" w:space="0" w:color="auto"/>
              <w:right w:val="nil"/>
            </w:tcBorders>
            <w:shd w:val="clear" w:color="auto" w:fill="auto"/>
            <w:noWrap/>
            <w:vAlign w:val="center"/>
            <w:hideMark/>
          </w:tcPr>
          <w:p w14:paraId="428B3901"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71,200.00 </w:t>
            </w:r>
          </w:p>
        </w:tc>
      </w:tr>
      <w:tr w:rsidR="005A5DA9" w:rsidRPr="0077750B" w14:paraId="3DB6E38D" w14:textId="77777777" w:rsidTr="005565B6">
        <w:trPr>
          <w:trHeight w:val="300"/>
          <w:jc w:val="center"/>
        </w:trPr>
        <w:tc>
          <w:tcPr>
            <w:tcW w:w="491" w:type="dxa"/>
            <w:tcBorders>
              <w:top w:val="single" w:sz="4" w:space="0" w:color="auto"/>
              <w:left w:val="nil"/>
              <w:bottom w:val="nil"/>
              <w:right w:val="nil"/>
            </w:tcBorders>
          </w:tcPr>
          <w:p w14:paraId="6E04089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single" w:sz="4" w:space="0" w:color="auto"/>
              <w:left w:val="nil"/>
              <w:bottom w:val="nil"/>
              <w:right w:val="nil"/>
            </w:tcBorders>
            <w:shd w:val="clear" w:color="auto" w:fill="auto"/>
            <w:noWrap/>
            <w:vAlign w:val="center"/>
            <w:hideMark/>
          </w:tcPr>
          <w:p w14:paraId="2BCB38FE"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1480" w:type="dxa"/>
            <w:tcBorders>
              <w:top w:val="single" w:sz="4" w:space="0" w:color="auto"/>
              <w:left w:val="nil"/>
              <w:bottom w:val="nil"/>
              <w:right w:val="nil"/>
            </w:tcBorders>
            <w:shd w:val="clear" w:color="auto" w:fill="auto"/>
            <w:noWrap/>
            <w:vAlign w:val="center"/>
            <w:hideMark/>
          </w:tcPr>
          <w:p w14:paraId="2E56268A"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3A1153CD"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c>
          <w:tcPr>
            <w:tcW w:w="1440" w:type="dxa"/>
            <w:tcBorders>
              <w:top w:val="single" w:sz="4" w:space="0" w:color="auto"/>
              <w:left w:val="nil"/>
              <w:bottom w:val="nil"/>
              <w:right w:val="nil"/>
            </w:tcBorders>
            <w:shd w:val="clear" w:color="auto" w:fill="auto"/>
            <w:noWrap/>
            <w:vAlign w:val="center"/>
            <w:hideMark/>
          </w:tcPr>
          <w:p w14:paraId="45C8A6E1" w14:textId="77777777" w:rsidR="005A5DA9" w:rsidRPr="0077750B" w:rsidRDefault="005A5DA9" w:rsidP="00F83A33">
            <w:pPr>
              <w:spacing w:line="240" w:lineRule="auto"/>
              <w:ind w:firstLine="0"/>
              <w:rPr>
                <w:rFonts w:ascii="Times New Roman" w:eastAsia="Times New Roman" w:hAnsi="Times New Roman" w:cs="Times New Roman"/>
                <w:kern w:val="0"/>
                <w:sz w:val="20"/>
                <w:szCs w:val="20"/>
                <w:lang w:eastAsia="en-US"/>
              </w:rPr>
            </w:pPr>
          </w:p>
        </w:tc>
      </w:tr>
      <w:tr w:rsidR="005A5DA9" w:rsidRPr="0077750B" w14:paraId="5B86E5E2" w14:textId="77777777" w:rsidTr="005565B6">
        <w:trPr>
          <w:trHeight w:val="300"/>
          <w:jc w:val="center"/>
        </w:trPr>
        <w:tc>
          <w:tcPr>
            <w:tcW w:w="491" w:type="dxa"/>
            <w:tcBorders>
              <w:top w:val="nil"/>
              <w:left w:val="nil"/>
              <w:bottom w:val="nil"/>
              <w:right w:val="nil"/>
            </w:tcBorders>
          </w:tcPr>
          <w:p w14:paraId="2C445B96"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p>
        </w:tc>
        <w:tc>
          <w:tcPr>
            <w:tcW w:w="3920" w:type="dxa"/>
            <w:tcBorders>
              <w:top w:val="nil"/>
              <w:left w:val="nil"/>
              <w:bottom w:val="nil"/>
              <w:right w:val="nil"/>
            </w:tcBorders>
            <w:shd w:val="clear" w:color="auto" w:fill="auto"/>
            <w:noWrap/>
            <w:vAlign w:val="center"/>
            <w:hideMark/>
          </w:tcPr>
          <w:p w14:paraId="557A484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Volume</w:t>
            </w:r>
          </w:p>
        </w:tc>
        <w:tc>
          <w:tcPr>
            <w:tcW w:w="1480" w:type="dxa"/>
            <w:tcBorders>
              <w:top w:val="nil"/>
              <w:left w:val="nil"/>
              <w:bottom w:val="nil"/>
              <w:right w:val="nil"/>
            </w:tcBorders>
            <w:shd w:val="clear" w:color="auto" w:fill="auto"/>
            <w:noWrap/>
            <w:vAlign w:val="center"/>
            <w:hideMark/>
          </w:tcPr>
          <w:p w14:paraId="4F33D43D"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1</w:t>
            </w:r>
          </w:p>
        </w:tc>
        <w:tc>
          <w:tcPr>
            <w:tcW w:w="1440" w:type="dxa"/>
            <w:tcBorders>
              <w:top w:val="nil"/>
              <w:left w:val="nil"/>
              <w:bottom w:val="nil"/>
              <w:right w:val="nil"/>
            </w:tcBorders>
            <w:shd w:val="clear" w:color="auto" w:fill="auto"/>
            <w:noWrap/>
            <w:vAlign w:val="center"/>
            <w:hideMark/>
          </w:tcPr>
          <w:p w14:paraId="1261F916"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2</w:t>
            </w:r>
          </w:p>
        </w:tc>
        <w:tc>
          <w:tcPr>
            <w:tcW w:w="1440" w:type="dxa"/>
            <w:tcBorders>
              <w:top w:val="nil"/>
              <w:left w:val="nil"/>
              <w:bottom w:val="nil"/>
              <w:right w:val="nil"/>
            </w:tcBorders>
            <w:shd w:val="clear" w:color="auto" w:fill="auto"/>
            <w:noWrap/>
            <w:vAlign w:val="center"/>
            <w:hideMark/>
          </w:tcPr>
          <w:p w14:paraId="539D7B10" w14:textId="77777777" w:rsidR="005A5DA9" w:rsidRPr="0077750B" w:rsidRDefault="005A5DA9" w:rsidP="00F83A33">
            <w:pPr>
              <w:spacing w:line="240" w:lineRule="auto"/>
              <w:ind w:firstLine="0"/>
              <w:jc w:val="center"/>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Year 3</w:t>
            </w:r>
          </w:p>
        </w:tc>
      </w:tr>
      <w:tr w:rsidR="005A5DA9" w:rsidRPr="0077750B" w14:paraId="0E2F3490" w14:textId="77777777" w:rsidTr="005565B6">
        <w:trPr>
          <w:trHeight w:val="315"/>
          <w:jc w:val="center"/>
        </w:trPr>
        <w:tc>
          <w:tcPr>
            <w:tcW w:w="491" w:type="dxa"/>
            <w:tcBorders>
              <w:top w:val="nil"/>
              <w:left w:val="nil"/>
              <w:bottom w:val="single" w:sz="4" w:space="0" w:color="auto"/>
              <w:right w:val="nil"/>
            </w:tcBorders>
          </w:tcPr>
          <w:p w14:paraId="612DFD78"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22.</w:t>
            </w:r>
          </w:p>
        </w:tc>
        <w:tc>
          <w:tcPr>
            <w:tcW w:w="3920" w:type="dxa"/>
            <w:tcBorders>
              <w:top w:val="nil"/>
              <w:left w:val="nil"/>
              <w:bottom w:val="single" w:sz="4" w:space="0" w:color="auto"/>
              <w:right w:val="nil"/>
            </w:tcBorders>
            <w:shd w:val="clear" w:color="auto" w:fill="auto"/>
            <w:noWrap/>
            <w:vAlign w:val="center"/>
            <w:hideMark/>
          </w:tcPr>
          <w:p w14:paraId="3C61D3CA"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RVU (Volume Statistic)</w:t>
            </w:r>
          </w:p>
        </w:tc>
        <w:tc>
          <w:tcPr>
            <w:tcW w:w="1480" w:type="dxa"/>
            <w:tcBorders>
              <w:top w:val="nil"/>
              <w:left w:val="nil"/>
              <w:bottom w:val="single" w:sz="4" w:space="0" w:color="auto"/>
              <w:right w:val="nil"/>
            </w:tcBorders>
            <w:shd w:val="clear" w:color="auto" w:fill="auto"/>
            <w:noWrap/>
            <w:vAlign w:val="center"/>
            <w:hideMark/>
          </w:tcPr>
          <w:p w14:paraId="1006B524"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1200</w:t>
            </w:r>
          </w:p>
        </w:tc>
        <w:tc>
          <w:tcPr>
            <w:tcW w:w="1440" w:type="dxa"/>
            <w:tcBorders>
              <w:top w:val="nil"/>
              <w:left w:val="nil"/>
              <w:bottom w:val="single" w:sz="4" w:space="0" w:color="auto"/>
              <w:right w:val="nil"/>
            </w:tcBorders>
            <w:shd w:val="clear" w:color="auto" w:fill="auto"/>
            <w:noWrap/>
            <w:vAlign w:val="center"/>
            <w:hideMark/>
          </w:tcPr>
          <w:p w14:paraId="6C5FE7DD"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960</w:t>
            </w:r>
          </w:p>
        </w:tc>
        <w:tc>
          <w:tcPr>
            <w:tcW w:w="1440" w:type="dxa"/>
            <w:tcBorders>
              <w:top w:val="nil"/>
              <w:left w:val="nil"/>
              <w:bottom w:val="single" w:sz="4" w:space="0" w:color="auto"/>
              <w:right w:val="nil"/>
            </w:tcBorders>
            <w:shd w:val="clear" w:color="auto" w:fill="auto"/>
            <w:noWrap/>
            <w:vAlign w:val="center"/>
            <w:hideMark/>
          </w:tcPr>
          <w:p w14:paraId="364EF58F" w14:textId="77777777" w:rsidR="005A5DA9" w:rsidRPr="0077750B" w:rsidRDefault="005A5DA9" w:rsidP="00F83A33">
            <w:pPr>
              <w:spacing w:line="240" w:lineRule="auto"/>
              <w:ind w:firstLine="0"/>
              <w:jc w:val="right"/>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960</w:t>
            </w:r>
          </w:p>
        </w:tc>
      </w:tr>
      <w:tr w:rsidR="005A5DA9" w:rsidRPr="0077750B" w14:paraId="72A49A44" w14:textId="77777777" w:rsidTr="005565B6">
        <w:trPr>
          <w:trHeight w:val="300"/>
          <w:jc w:val="center"/>
        </w:trPr>
        <w:tc>
          <w:tcPr>
            <w:tcW w:w="491" w:type="dxa"/>
            <w:tcBorders>
              <w:top w:val="single" w:sz="4" w:space="0" w:color="auto"/>
              <w:left w:val="nil"/>
              <w:bottom w:val="single" w:sz="4" w:space="0" w:color="auto"/>
              <w:right w:val="nil"/>
            </w:tcBorders>
          </w:tcPr>
          <w:p w14:paraId="440021F9"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23.</w:t>
            </w:r>
          </w:p>
        </w:tc>
        <w:tc>
          <w:tcPr>
            <w:tcW w:w="3920" w:type="dxa"/>
            <w:tcBorders>
              <w:top w:val="single" w:sz="4" w:space="0" w:color="auto"/>
              <w:left w:val="nil"/>
              <w:bottom w:val="single" w:sz="4" w:space="0" w:color="auto"/>
              <w:right w:val="nil"/>
            </w:tcBorders>
            <w:shd w:val="clear" w:color="auto" w:fill="auto"/>
            <w:noWrap/>
            <w:vAlign w:val="center"/>
            <w:hideMark/>
          </w:tcPr>
          <w:p w14:paraId="542426FF"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Cost Per Unit</w:t>
            </w:r>
          </w:p>
        </w:tc>
        <w:tc>
          <w:tcPr>
            <w:tcW w:w="1480" w:type="dxa"/>
            <w:tcBorders>
              <w:top w:val="single" w:sz="4" w:space="0" w:color="auto"/>
              <w:left w:val="nil"/>
              <w:bottom w:val="single" w:sz="4" w:space="0" w:color="auto"/>
              <w:right w:val="nil"/>
            </w:tcBorders>
            <w:shd w:val="clear" w:color="auto" w:fill="auto"/>
            <w:noWrap/>
            <w:vAlign w:val="center"/>
            <w:hideMark/>
          </w:tcPr>
          <w:p w14:paraId="09F8E0CD"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36.83 </w:t>
            </w:r>
          </w:p>
        </w:tc>
        <w:tc>
          <w:tcPr>
            <w:tcW w:w="1440" w:type="dxa"/>
            <w:tcBorders>
              <w:top w:val="single" w:sz="4" w:space="0" w:color="auto"/>
              <w:left w:val="nil"/>
              <w:bottom w:val="single" w:sz="4" w:space="0" w:color="auto"/>
              <w:right w:val="nil"/>
            </w:tcBorders>
            <w:shd w:val="clear" w:color="auto" w:fill="auto"/>
            <w:noWrap/>
            <w:vAlign w:val="center"/>
            <w:hideMark/>
          </w:tcPr>
          <w:p w14:paraId="2BD4DBFC"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8.33 </w:t>
            </w:r>
          </w:p>
        </w:tc>
        <w:tc>
          <w:tcPr>
            <w:tcW w:w="1440" w:type="dxa"/>
            <w:tcBorders>
              <w:top w:val="single" w:sz="4" w:space="0" w:color="auto"/>
              <w:left w:val="nil"/>
              <w:bottom w:val="single" w:sz="4" w:space="0" w:color="auto"/>
              <w:right w:val="nil"/>
            </w:tcBorders>
            <w:shd w:val="clear" w:color="auto" w:fill="auto"/>
            <w:noWrap/>
            <w:vAlign w:val="center"/>
            <w:hideMark/>
          </w:tcPr>
          <w:p w14:paraId="20081F47" w14:textId="77777777" w:rsidR="005A5DA9" w:rsidRPr="0077750B" w:rsidRDefault="005A5DA9" w:rsidP="00F83A33">
            <w:pPr>
              <w:spacing w:line="240" w:lineRule="auto"/>
              <w:ind w:firstLine="0"/>
              <w:rPr>
                <w:rFonts w:ascii="Times New Roman" w:eastAsia="Times New Roman" w:hAnsi="Times New Roman" w:cs="Times New Roman"/>
                <w:color w:val="000000"/>
                <w:kern w:val="0"/>
                <w:sz w:val="22"/>
                <w:szCs w:val="22"/>
                <w:lang w:eastAsia="en-US"/>
              </w:rPr>
            </w:pPr>
            <w:r w:rsidRPr="0077750B">
              <w:rPr>
                <w:rFonts w:ascii="Times New Roman" w:eastAsia="Times New Roman" w:hAnsi="Times New Roman" w:cs="Times New Roman"/>
                <w:color w:val="000000"/>
                <w:kern w:val="0"/>
                <w:sz w:val="22"/>
                <w:szCs w:val="22"/>
                <w:lang w:eastAsia="en-US"/>
              </w:rPr>
              <w:t xml:space="preserve"> $            8.33 </w:t>
            </w:r>
          </w:p>
        </w:tc>
      </w:tr>
    </w:tbl>
    <w:p w14:paraId="03CA65BE" w14:textId="77777777" w:rsidR="00E81978" w:rsidRDefault="00E81978" w:rsidP="00853D81">
      <w:pPr>
        <w:pStyle w:val="TableFigure"/>
      </w:pPr>
    </w:p>
    <w:p w14:paraId="640FDD3D" w14:textId="0342E7C3" w:rsidR="00853D81" w:rsidRDefault="00683DC5" w:rsidP="00853D81">
      <w:pPr>
        <w:pStyle w:val="SectionTitle"/>
      </w:pPr>
      <w:r>
        <w:lastRenderedPageBreak/>
        <w:t>Figure</w:t>
      </w:r>
      <w:r w:rsidR="002A1701">
        <w:t xml:space="preserve"> </w:t>
      </w:r>
      <w:r>
        <w:t xml:space="preserve">1: </w:t>
      </w:r>
      <w:r w:rsidR="00853D81">
        <w:t>Home Visiting Service Framework Platform:</w:t>
      </w:r>
    </w:p>
    <w:p w14:paraId="4FA75EC0" w14:textId="77777777" w:rsidR="00853D81" w:rsidRDefault="00853D81" w:rsidP="00853D81">
      <w:pPr>
        <w:pStyle w:val="NoSpacing"/>
        <w:keepNext/>
      </w:pPr>
      <w:r>
        <w:rPr>
          <w:noProof/>
        </w:rPr>
        <w:drawing>
          <wp:inline distT="0" distB="0" distL="0" distR="0" wp14:anchorId="2E68EEE1" wp14:editId="0AA0F5AC">
            <wp:extent cx="5943600" cy="2973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73705"/>
                    </a:xfrm>
                    <a:prstGeom prst="rect">
                      <a:avLst/>
                    </a:prstGeom>
                  </pic:spPr>
                </pic:pic>
              </a:graphicData>
            </a:graphic>
          </wp:inline>
        </w:drawing>
      </w:r>
    </w:p>
    <w:p w14:paraId="62EAD3AC" w14:textId="75A8B9F4" w:rsidR="00853D81" w:rsidRDefault="00853D81" w:rsidP="00853D81">
      <w:pPr>
        <w:pStyle w:val="NoSpacing"/>
      </w:pPr>
      <w:bookmarkStart w:id="29" w:name="_Ref4357898"/>
      <w:r w:rsidRPr="00C65FED">
        <w:rPr>
          <w:rStyle w:val="Emphasis"/>
        </w:rPr>
        <w:t xml:space="preserve">Figure </w:t>
      </w:r>
      <w:r w:rsidRPr="00C65FED">
        <w:rPr>
          <w:rStyle w:val="Emphasis"/>
        </w:rPr>
        <w:fldChar w:fldCharType="begin"/>
      </w:r>
      <w:r w:rsidRPr="00C65FED">
        <w:rPr>
          <w:rStyle w:val="Emphasis"/>
        </w:rPr>
        <w:instrText xml:space="preserve"> SEQ Figure \* ARABIC </w:instrText>
      </w:r>
      <w:r w:rsidRPr="00C65FED">
        <w:rPr>
          <w:rStyle w:val="Emphasis"/>
        </w:rPr>
        <w:fldChar w:fldCharType="separate"/>
      </w:r>
      <w:r w:rsidR="00D1748F">
        <w:rPr>
          <w:rStyle w:val="Emphasis"/>
          <w:noProof/>
        </w:rPr>
        <w:t>1</w:t>
      </w:r>
      <w:r w:rsidRPr="00C65FED">
        <w:rPr>
          <w:rStyle w:val="Emphasis"/>
        </w:rPr>
        <w:fldChar w:fldCharType="end"/>
      </w:r>
      <w:bookmarkEnd w:id="29"/>
      <w:r w:rsidRPr="00C65FED">
        <w:rPr>
          <w:rStyle w:val="Emphasis"/>
        </w:rPr>
        <w:t xml:space="preserve">.  </w:t>
      </w:r>
      <w:bookmarkStart w:id="30" w:name="_Ref4357948"/>
      <w:r w:rsidRPr="00C65FED">
        <w:rPr>
          <w:rStyle w:val="Emphasis"/>
        </w:rPr>
        <w:t>Components of the Home Visiting Service Framework Platform.</w:t>
      </w:r>
      <w:bookmarkEnd w:id="30"/>
      <w:r>
        <w:t xml:space="preserve"> </w:t>
      </w:r>
    </w:p>
    <w:p w14:paraId="0D2E09CB" w14:textId="36FA4884" w:rsidR="00E81978" w:rsidRDefault="00853D81" w:rsidP="00853D81">
      <w:pPr>
        <w:pStyle w:val="NoSpacing"/>
      </w:pPr>
      <w:r>
        <w:t>This figure portrays the main characteristics of the Home Visiting Service.  The service consists of the: Home Visiting Service, mobile application, cloud data storage, desktop application, and practice guidelines.</w:t>
      </w:r>
    </w:p>
    <w:p w14:paraId="19AA8757" w14:textId="4809C45E" w:rsidR="00683DC5" w:rsidRDefault="00683DC5" w:rsidP="00683DC5">
      <w:pPr>
        <w:pStyle w:val="SectionTitle"/>
      </w:pPr>
      <w:r>
        <w:lastRenderedPageBreak/>
        <w:t>Figure 2: Heartland Health Main Organization Chart</w:t>
      </w:r>
    </w:p>
    <w:p w14:paraId="537AD78D" w14:textId="77777777" w:rsidR="00D1748F" w:rsidRDefault="00683DC5" w:rsidP="00D1748F">
      <w:pPr>
        <w:pStyle w:val="NoSpacing"/>
        <w:keepNext/>
      </w:pPr>
      <w:r>
        <w:rPr>
          <w:noProof/>
        </w:rPr>
        <w:drawing>
          <wp:inline distT="0" distB="0" distL="0" distR="0" wp14:anchorId="2D199F87" wp14:editId="4B09CCDE">
            <wp:extent cx="5943600" cy="2075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75180"/>
                    </a:xfrm>
                    <a:prstGeom prst="rect">
                      <a:avLst/>
                    </a:prstGeom>
                  </pic:spPr>
                </pic:pic>
              </a:graphicData>
            </a:graphic>
          </wp:inline>
        </w:drawing>
      </w:r>
    </w:p>
    <w:p w14:paraId="0A65A68C" w14:textId="3884F4EC" w:rsidR="00683DC5" w:rsidRDefault="00D1748F" w:rsidP="00D1748F">
      <w:pPr>
        <w:pStyle w:val="Caption"/>
      </w:pPr>
      <w:bookmarkStart w:id="31" w:name="_Ref7038222"/>
      <w:r>
        <w:t xml:space="preserve">Figure </w:t>
      </w:r>
      <w:r w:rsidR="00447885">
        <w:fldChar w:fldCharType="begin"/>
      </w:r>
      <w:r w:rsidR="00447885">
        <w:instrText xml:space="preserve"> SEQ Figure \* ARABIC </w:instrText>
      </w:r>
      <w:r w:rsidR="00447885">
        <w:fldChar w:fldCharType="separate"/>
      </w:r>
      <w:r>
        <w:rPr>
          <w:noProof/>
        </w:rPr>
        <w:t>2</w:t>
      </w:r>
      <w:r w:rsidR="00447885">
        <w:rPr>
          <w:noProof/>
        </w:rPr>
        <w:fldChar w:fldCharType="end"/>
      </w:r>
      <w:r>
        <w:t xml:space="preserve">. </w:t>
      </w:r>
      <w:r w:rsidRPr="00A7496E">
        <w:t>Heartland Health Main Organization Chart</w:t>
      </w:r>
      <w:bookmarkEnd w:id="31"/>
    </w:p>
    <w:p w14:paraId="78B2FC7B" w14:textId="77777777" w:rsidR="00683DC5" w:rsidRDefault="00683DC5" w:rsidP="00683DC5">
      <w:pPr>
        <w:pStyle w:val="NoSpacing"/>
      </w:pPr>
      <w:r w:rsidRPr="00C10E3F">
        <w:t>This chart shows the different functional teams that integrate Heartland Health:  Front Office, Clinical Services, and Health Informatics.  Front Office team comprehends those services related to administrative activities.  Clinical services are integrated by personnel in charge of delivering health care services within the organization.  Finally, Health Informatics team includes those team members in charge of providing technical and technology services to the health care organization.</w:t>
      </w:r>
    </w:p>
    <w:p w14:paraId="058D00A9" w14:textId="75728B77" w:rsidR="00683DC5" w:rsidRDefault="00683DC5" w:rsidP="00683DC5">
      <w:pPr>
        <w:pStyle w:val="SectionTitle"/>
      </w:pPr>
      <w:r>
        <w:lastRenderedPageBreak/>
        <w:t>Figure 3: Heartland Health Leadership Organization Chart</w:t>
      </w:r>
    </w:p>
    <w:p w14:paraId="27632AC8" w14:textId="77777777" w:rsidR="00D1748F" w:rsidRDefault="00683DC5" w:rsidP="00D1748F">
      <w:pPr>
        <w:pStyle w:val="NoSpacing"/>
        <w:keepNext/>
        <w:jc w:val="center"/>
      </w:pPr>
      <w:r>
        <w:object w:dxaOrig="15796" w:dyaOrig="9210" w14:anchorId="76A7A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72.45pt" o:ole="">
            <v:imagedata r:id="rId11" o:title=""/>
          </v:shape>
          <o:OLEObject Type="Embed" ProgID="Visio.Drawing.15" ShapeID="_x0000_i1025" DrawAspect="Content" ObjectID="_1618079025" r:id="rId12"/>
        </w:object>
      </w:r>
    </w:p>
    <w:p w14:paraId="0D5EFE2F" w14:textId="1BD2E183" w:rsidR="00683DC5" w:rsidRPr="00D1748F" w:rsidRDefault="00D1748F" w:rsidP="00D1748F">
      <w:pPr>
        <w:pStyle w:val="NoSpacing"/>
        <w:rPr>
          <w:rStyle w:val="Emphasis"/>
        </w:rPr>
      </w:pPr>
      <w:bookmarkStart w:id="32" w:name="_Ref7038255"/>
      <w:r w:rsidRPr="00D1748F">
        <w:rPr>
          <w:rStyle w:val="Emphasis"/>
        </w:rPr>
        <w:t xml:space="preserve">Figure </w:t>
      </w:r>
      <w:r w:rsidRPr="00D1748F">
        <w:rPr>
          <w:rStyle w:val="Emphasis"/>
        </w:rPr>
        <w:fldChar w:fldCharType="begin"/>
      </w:r>
      <w:r w:rsidRPr="00D1748F">
        <w:rPr>
          <w:rStyle w:val="Emphasis"/>
        </w:rPr>
        <w:instrText xml:space="preserve"> SEQ Figure \* ARABIC </w:instrText>
      </w:r>
      <w:r w:rsidRPr="00D1748F">
        <w:rPr>
          <w:rStyle w:val="Emphasis"/>
        </w:rPr>
        <w:fldChar w:fldCharType="separate"/>
      </w:r>
      <w:r>
        <w:rPr>
          <w:rStyle w:val="Emphasis"/>
          <w:noProof/>
        </w:rPr>
        <w:t>3</w:t>
      </w:r>
      <w:r w:rsidRPr="00D1748F">
        <w:rPr>
          <w:rStyle w:val="Emphasis"/>
        </w:rPr>
        <w:fldChar w:fldCharType="end"/>
      </w:r>
      <w:r w:rsidRPr="00D1748F">
        <w:rPr>
          <w:rStyle w:val="Emphasis"/>
        </w:rPr>
        <w:t>. Heartland Health Leadership Organization Chart</w:t>
      </w:r>
      <w:bookmarkEnd w:id="32"/>
    </w:p>
    <w:p w14:paraId="00FC99A7" w14:textId="77777777" w:rsidR="00683DC5" w:rsidRDefault="00683DC5" w:rsidP="00683DC5">
      <w:pPr>
        <w:pStyle w:val="NoSpacing"/>
      </w:pPr>
      <w:r w:rsidRPr="00C10E3F">
        <w:t>This chart is a graphical representation of the division of team members between the two locations.  Each location has an identified team leader.  Dashed lines enclose the different functional teams and their members.  Arrows show the report line from managers to team members.</w:t>
      </w:r>
    </w:p>
    <w:p w14:paraId="759F3E6F" w14:textId="77777777" w:rsidR="00683DC5" w:rsidRDefault="00683DC5" w:rsidP="00683DC5">
      <w:pPr>
        <w:pStyle w:val="NoSpacing"/>
      </w:pPr>
    </w:p>
    <w:p w14:paraId="792B0CF3" w14:textId="72AC7214" w:rsidR="00683DC5" w:rsidRDefault="00683DC5" w:rsidP="00683DC5">
      <w:pPr>
        <w:pStyle w:val="SectionTitle"/>
      </w:pPr>
      <w:r>
        <w:lastRenderedPageBreak/>
        <w:t>Figure 4.  Heartland Health Proposed Strategic Plan</w:t>
      </w:r>
    </w:p>
    <w:p w14:paraId="3CA13D98" w14:textId="77777777" w:rsidR="00D1748F" w:rsidRDefault="00683DC5" w:rsidP="00D1748F">
      <w:pPr>
        <w:pStyle w:val="NoSpacing"/>
        <w:keepNext/>
        <w:jc w:val="center"/>
      </w:pPr>
      <w:r>
        <w:rPr>
          <w:noProof/>
        </w:rPr>
        <w:drawing>
          <wp:inline distT="0" distB="0" distL="0" distR="0" wp14:anchorId="52053DC9" wp14:editId="2E201965">
            <wp:extent cx="5943600" cy="2646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46045"/>
                    </a:xfrm>
                    <a:prstGeom prst="rect">
                      <a:avLst/>
                    </a:prstGeom>
                  </pic:spPr>
                </pic:pic>
              </a:graphicData>
            </a:graphic>
          </wp:inline>
        </w:drawing>
      </w:r>
    </w:p>
    <w:p w14:paraId="039CCFED" w14:textId="0B6BB301" w:rsidR="00683DC5" w:rsidRPr="00D1748F" w:rsidRDefault="00D1748F" w:rsidP="00D1748F">
      <w:pPr>
        <w:pStyle w:val="NoSpacing"/>
        <w:rPr>
          <w:rStyle w:val="Emphasis"/>
        </w:rPr>
      </w:pPr>
      <w:bookmarkStart w:id="33" w:name="_Ref7038314"/>
      <w:r w:rsidRPr="00D1748F">
        <w:rPr>
          <w:rStyle w:val="Emphasis"/>
        </w:rPr>
        <w:t xml:space="preserve">Figure </w:t>
      </w:r>
      <w:r w:rsidRPr="00D1748F">
        <w:rPr>
          <w:rStyle w:val="Emphasis"/>
        </w:rPr>
        <w:fldChar w:fldCharType="begin"/>
      </w:r>
      <w:r w:rsidRPr="00D1748F">
        <w:rPr>
          <w:rStyle w:val="Emphasis"/>
        </w:rPr>
        <w:instrText xml:space="preserve"> SEQ Figure \* ARABIC </w:instrText>
      </w:r>
      <w:r w:rsidRPr="00D1748F">
        <w:rPr>
          <w:rStyle w:val="Emphasis"/>
        </w:rPr>
        <w:fldChar w:fldCharType="separate"/>
      </w:r>
      <w:r>
        <w:rPr>
          <w:rStyle w:val="Emphasis"/>
          <w:noProof/>
        </w:rPr>
        <w:t>4</w:t>
      </w:r>
      <w:r w:rsidRPr="00D1748F">
        <w:rPr>
          <w:rStyle w:val="Emphasis"/>
        </w:rPr>
        <w:fldChar w:fldCharType="end"/>
      </w:r>
      <w:r w:rsidRPr="00D1748F">
        <w:rPr>
          <w:rStyle w:val="Emphasis"/>
        </w:rPr>
        <w:t>. Heartland Health Proposed Strategic Plan</w:t>
      </w:r>
      <w:bookmarkEnd w:id="33"/>
    </w:p>
    <w:p w14:paraId="2DE5308B" w14:textId="77777777" w:rsidR="00683DC5" w:rsidRDefault="00683DC5" w:rsidP="00683DC5">
      <w:pPr>
        <w:pStyle w:val="NoSpacing"/>
        <w:rPr>
          <w:i/>
        </w:rPr>
      </w:pPr>
      <w:r>
        <w:t xml:space="preserve">This image displays the strategic plan that will be proposed to Heartland Health.  The main goal of this strategic plan is to transform Heartland Health into an organization that is known for providing the best medical care for pregnant women.  The vision, organizational, values support this mission and the goals set the scope for action.  As a result, we have three main action plans that can be achieved through the use of the </w:t>
      </w:r>
      <w:r w:rsidRPr="00133C9C">
        <w:rPr>
          <w:i/>
        </w:rPr>
        <w:t>Home Visiting Service and Framework</w:t>
      </w:r>
      <w:r>
        <w:rPr>
          <w:i/>
        </w:rPr>
        <w:t>.</w:t>
      </w:r>
    </w:p>
    <w:p w14:paraId="4C841771" w14:textId="70A90D5B" w:rsidR="00683DC5" w:rsidRDefault="00683DC5" w:rsidP="00683DC5">
      <w:pPr>
        <w:pStyle w:val="SectionTitle"/>
      </w:pPr>
      <w:r>
        <w:lastRenderedPageBreak/>
        <w:t>Figure 5.  Heartland Health SWOT Analysis</w:t>
      </w:r>
    </w:p>
    <w:p w14:paraId="6C24AFDF" w14:textId="77777777" w:rsidR="00D1748F" w:rsidRDefault="00683DC5" w:rsidP="00D1748F">
      <w:pPr>
        <w:pStyle w:val="NoSpacing"/>
        <w:keepNext/>
        <w:jc w:val="center"/>
      </w:pPr>
      <w:r>
        <w:rPr>
          <w:noProof/>
        </w:rPr>
        <w:drawing>
          <wp:inline distT="0" distB="0" distL="0" distR="0" wp14:anchorId="207AF536" wp14:editId="281DD0F7">
            <wp:extent cx="4973711" cy="331438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8076" cy="3337283"/>
                    </a:xfrm>
                    <a:prstGeom prst="rect">
                      <a:avLst/>
                    </a:prstGeom>
                    <a:noFill/>
                  </pic:spPr>
                </pic:pic>
              </a:graphicData>
            </a:graphic>
          </wp:inline>
        </w:drawing>
      </w:r>
    </w:p>
    <w:p w14:paraId="028426D1" w14:textId="4A56CAE1" w:rsidR="00683DC5" w:rsidRPr="00D1748F" w:rsidRDefault="00D1748F" w:rsidP="00D1748F">
      <w:pPr>
        <w:pStyle w:val="NoSpacing"/>
        <w:rPr>
          <w:rStyle w:val="Emphasis"/>
        </w:rPr>
      </w:pPr>
      <w:bookmarkStart w:id="34" w:name="_Ref7038335"/>
      <w:r w:rsidRPr="00D1748F">
        <w:rPr>
          <w:rStyle w:val="Emphasis"/>
        </w:rPr>
        <w:t xml:space="preserve">Figure </w:t>
      </w:r>
      <w:r w:rsidRPr="00D1748F">
        <w:rPr>
          <w:rStyle w:val="Emphasis"/>
        </w:rPr>
        <w:fldChar w:fldCharType="begin"/>
      </w:r>
      <w:r w:rsidRPr="00D1748F">
        <w:rPr>
          <w:rStyle w:val="Emphasis"/>
        </w:rPr>
        <w:instrText xml:space="preserve"> SEQ Figure \* ARABIC </w:instrText>
      </w:r>
      <w:r w:rsidRPr="00D1748F">
        <w:rPr>
          <w:rStyle w:val="Emphasis"/>
        </w:rPr>
        <w:fldChar w:fldCharType="separate"/>
      </w:r>
      <w:r w:rsidRPr="00D1748F">
        <w:rPr>
          <w:rStyle w:val="Emphasis"/>
        </w:rPr>
        <w:t>5</w:t>
      </w:r>
      <w:r w:rsidRPr="00D1748F">
        <w:rPr>
          <w:rStyle w:val="Emphasis"/>
        </w:rPr>
        <w:fldChar w:fldCharType="end"/>
      </w:r>
      <w:r w:rsidRPr="00D1748F">
        <w:rPr>
          <w:rStyle w:val="Emphasis"/>
        </w:rPr>
        <w:t>. Heartland Health SWOT Analysis</w:t>
      </w:r>
      <w:bookmarkEnd w:id="34"/>
    </w:p>
    <w:p w14:paraId="65EA30A0" w14:textId="77777777" w:rsidR="00683DC5" w:rsidRPr="002B48A6" w:rsidRDefault="00683DC5" w:rsidP="00683DC5">
      <w:pPr>
        <w:pStyle w:val="NoSpacing"/>
      </w:pPr>
      <w:r>
        <w:t>This image shows the results of the SWOT Analysis for the Heartland Health organization.  Strengths were defined by the current internal characteristics and practices that proved value.  Opportunities were determined by identifying current external practices that can potentially provide the basis for future value.  Weaknesses were identified as internal characteristics or processes that do not provide value to the organization and are a potential liability.  Finally, Threats were identified as external factors than can cause a loss of value of the current practices or characteristics to the organization.</w:t>
      </w:r>
    </w:p>
    <w:p w14:paraId="64585DF6" w14:textId="77777777" w:rsidR="00683DC5" w:rsidRDefault="00683DC5" w:rsidP="00683DC5">
      <w:pPr>
        <w:pStyle w:val="NoSpacing"/>
        <w:jc w:val="center"/>
      </w:pPr>
    </w:p>
    <w:p w14:paraId="3ABCC393" w14:textId="77777777" w:rsidR="00683DC5" w:rsidRDefault="00683DC5" w:rsidP="00853D81">
      <w:pPr>
        <w:pStyle w:val="NoSpacing"/>
      </w:pPr>
    </w:p>
    <w:sectPr w:rsidR="00683DC5" w:rsidSect="00E42023">
      <w:headerReference w:type="default" r:id="rId15"/>
      <w:headerReference w:type="first" r:id="rId16"/>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2923" w14:textId="77777777" w:rsidR="00604220" w:rsidRDefault="00604220">
      <w:pPr>
        <w:spacing w:line="240" w:lineRule="auto"/>
      </w:pPr>
      <w:r>
        <w:separator/>
      </w:r>
    </w:p>
    <w:p w14:paraId="41ED1C20" w14:textId="77777777" w:rsidR="00604220" w:rsidRDefault="00604220"/>
  </w:endnote>
  <w:endnote w:type="continuationSeparator" w:id="0">
    <w:p w14:paraId="43471AA1" w14:textId="77777777" w:rsidR="00604220" w:rsidRDefault="00604220">
      <w:pPr>
        <w:spacing w:line="240" w:lineRule="auto"/>
      </w:pPr>
      <w:r>
        <w:continuationSeparator/>
      </w:r>
    </w:p>
    <w:p w14:paraId="19D55BFF" w14:textId="77777777" w:rsidR="00604220" w:rsidRDefault="0060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221D" w14:textId="77777777" w:rsidR="00604220" w:rsidRDefault="00604220">
      <w:pPr>
        <w:spacing w:line="240" w:lineRule="auto"/>
      </w:pPr>
      <w:r>
        <w:separator/>
      </w:r>
    </w:p>
    <w:p w14:paraId="54DCA314" w14:textId="77777777" w:rsidR="00604220" w:rsidRDefault="00604220"/>
  </w:footnote>
  <w:footnote w:type="continuationSeparator" w:id="0">
    <w:p w14:paraId="6B9EB8DC" w14:textId="77777777" w:rsidR="00604220" w:rsidRDefault="00604220">
      <w:pPr>
        <w:spacing w:line="240" w:lineRule="auto"/>
      </w:pPr>
      <w:r>
        <w:continuationSeparator/>
      </w:r>
    </w:p>
    <w:p w14:paraId="4326BAB2" w14:textId="77777777" w:rsidR="00604220" w:rsidRDefault="00604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72AA" w14:textId="18B49332" w:rsidR="00E81978" w:rsidRDefault="00447885">
    <w:pPr>
      <w:pStyle w:val="Header"/>
    </w:pPr>
    <w:sdt>
      <w:sdtPr>
        <w:rPr>
          <w:rStyle w:val="Strong"/>
        </w:rPr>
        <w:alias w:val="Running head"/>
        <w:tag w:val=""/>
        <w:id w:val="12739865"/>
        <w:placeholder>
          <w:docPart w:val="7C7A94D06BC8487EBA0451F5E2075F4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04220">
          <w:rPr>
            <w:rStyle w:val="Strong"/>
          </w:rPr>
          <w:t>HOME VISITING SERVICE AND FRAMEWORK</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24D7" w14:textId="57D11A5E" w:rsidR="00E81978" w:rsidRDefault="005D3A03">
    <w:pPr>
      <w:pStyle w:val="Header"/>
      <w:rPr>
        <w:rStyle w:val="Strong"/>
      </w:rPr>
    </w:pPr>
    <w:r>
      <w:t xml:space="preserve">Running head: </w:t>
    </w:r>
    <w:sdt>
      <w:sdtPr>
        <w:rPr>
          <w:rStyle w:val="Strong"/>
        </w:rPr>
        <w:alias w:val="Running head"/>
        <w:tag w:val=""/>
        <w:id w:val="-696842620"/>
        <w:placeholder>
          <w:docPart w:val="94F479AE69BD450DBD84D5CA3044F74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04220">
          <w:rPr>
            <w:rStyle w:val="Strong"/>
          </w:rPr>
          <w:t>HOME VISITING SERVICE AND FRAMEWORK</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433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0"/>
    <w:rsid w:val="000D3F41"/>
    <w:rsid w:val="0010570F"/>
    <w:rsid w:val="00205786"/>
    <w:rsid w:val="00292904"/>
    <w:rsid w:val="002943A2"/>
    <w:rsid w:val="002A1701"/>
    <w:rsid w:val="0034673A"/>
    <w:rsid w:val="00355DCA"/>
    <w:rsid w:val="003668EA"/>
    <w:rsid w:val="00367270"/>
    <w:rsid w:val="00392DC8"/>
    <w:rsid w:val="00430C0C"/>
    <w:rsid w:val="0044501B"/>
    <w:rsid w:val="00447885"/>
    <w:rsid w:val="004A3DCA"/>
    <w:rsid w:val="00551A02"/>
    <w:rsid w:val="005534FA"/>
    <w:rsid w:val="005565B6"/>
    <w:rsid w:val="005807E3"/>
    <w:rsid w:val="005A5DA9"/>
    <w:rsid w:val="005D3A03"/>
    <w:rsid w:val="005F53A1"/>
    <w:rsid w:val="00602EEC"/>
    <w:rsid w:val="00604220"/>
    <w:rsid w:val="006375FF"/>
    <w:rsid w:val="00683DC5"/>
    <w:rsid w:val="00754123"/>
    <w:rsid w:val="00781E08"/>
    <w:rsid w:val="007A1B67"/>
    <w:rsid w:val="007B31F0"/>
    <w:rsid w:val="008002C0"/>
    <w:rsid w:val="008318DB"/>
    <w:rsid w:val="00853D81"/>
    <w:rsid w:val="008C5323"/>
    <w:rsid w:val="009A6A3B"/>
    <w:rsid w:val="00A60CF8"/>
    <w:rsid w:val="00A64EAC"/>
    <w:rsid w:val="00B823AA"/>
    <w:rsid w:val="00B96CF1"/>
    <w:rsid w:val="00BA45DB"/>
    <w:rsid w:val="00BF4184"/>
    <w:rsid w:val="00C03239"/>
    <w:rsid w:val="00C03F1B"/>
    <w:rsid w:val="00C0601E"/>
    <w:rsid w:val="00C31D30"/>
    <w:rsid w:val="00CA2D3D"/>
    <w:rsid w:val="00CB4ADA"/>
    <w:rsid w:val="00CD6E39"/>
    <w:rsid w:val="00CE1DE9"/>
    <w:rsid w:val="00CF6E91"/>
    <w:rsid w:val="00D1748F"/>
    <w:rsid w:val="00D85B68"/>
    <w:rsid w:val="00E42023"/>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F6587"/>
  <w15:chartTrackingRefBased/>
  <w15:docId w15:val="{3B0B8EE7-0A68-46D1-9D7F-D0A71235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242686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575244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4720035">
      <w:bodyDiv w:val="1"/>
      <w:marLeft w:val="0"/>
      <w:marRight w:val="0"/>
      <w:marTop w:val="0"/>
      <w:marBottom w:val="0"/>
      <w:divBdr>
        <w:top w:val="none" w:sz="0" w:space="0" w:color="auto"/>
        <w:left w:val="none" w:sz="0" w:space="0" w:color="auto"/>
        <w:bottom w:val="none" w:sz="0" w:space="0" w:color="auto"/>
        <w:right w:val="none" w:sz="0" w:space="0" w:color="auto"/>
      </w:divBdr>
    </w:div>
    <w:div w:id="111059026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656582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988678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66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374BFECAE14F85B64635164E68532A"/>
        <w:category>
          <w:name w:val="General"/>
          <w:gallery w:val="placeholder"/>
        </w:category>
        <w:types>
          <w:type w:val="bbPlcHdr"/>
        </w:types>
        <w:behaviors>
          <w:behavior w:val="content"/>
        </w:behaviors>
        <w:guid w:val="{CB076A94-AA27-43A1-9396-2CDE4CDB5D55}"/>
      </w:docPartPr>
      <w:docPartBody>
        <w:p w:rsidR="00DE1416" w:rsidRDefault="00095BC2">
          <w:pPr>
            <w:pStyle w:val="69374BFECAE14F85B64635164E68532A"/>
          </w:pPr>
          <w:r>
            <w:t>[Title Here, up to 12 Words, on One to Two Lines]</w:t>
          </w:r>
        </w:p>
      </w:docPartBody>
    </w:docPart>
    <w:docPart>
      <w:docPartPr>
        <w:name w:val="25B6FCCF2A8D486FB410D7E5C2C0D2D2"/>
        <w:category>
          <w:name w:val="General"/>
          <w:gallery w:val="placeholder"/>
        </w:category>
        <w:types>
          <w:type w:val="bbPlcHdr"/>
        </w:types>
        <w:behaviors>
          <w:behavior w:val="content"/>
        </w:behaviors>
        <w:guid w:val="{131D558D-1D1B-434E-BB44-AB136B24FDD1}"/>
      </w:docPartPr>
      <w:docPartBody>
        <w:p w:rsidR="00DE1416" w:rsidRDefault="00095BC2">
          <w:pPr>
            <w:pStyle w:val="25B6FCCF2A8D486FB410D7E5C2C0D2D2"/>
          </w:pPr>
          <w:r>
            <w:t>[Title Here, up to 12 Words, on One to Two Lines]</w:t>
          </w:r>
        </w:p>
      </w:docPartBody>
    </w:docPart>
    <w:docPart>
      <w:docPartPr>
        <w:name w:val="7C7A94D06BC8487EBA0451F5E2075F44"/>
        <w:category>
          <w:name w:val="General"/>
          <w:gallery w:val="placeholder"/>
        </w:category>
        <w:types>
          <w:type w:val="bbPlcHdr"/>
        </w:types>
        <w:behaviors>
          <w:behavior w:val="content"/>
        </w:behaviors>
        <w:guid w:val="{3ED9C818-A685-431A-85C0-A5563FA16190}"/>
      </w:docPartPr>
      <w:docPartBody>
        <w:p w:rsidR="00DE1416" w:rsidRDefault="00095BC2">
          <w:pPr>
            <w:pStyle w:val="7C7A94D06BC8487EBA0451F5E2075F44"/>
          </w:pPr>
          <w:r w:rsidRPr="005D3A03">
            <w:t>Figures title:</w:t>
          </w:r>
        </w:p>
      </w:docPartBody>
    </w:docPart>
    <w:docPart>
      <w:docPartPr>
        <w:name w:val="94F479AE69BD450DBD84D5CA3044F742"/>
        <w:category>
          <w:name w:val="General"/>
          <w:gallery w:val="placeholder"/>
        </w:category>
        <w:types>
          <w:type w:val="bbPlcHdr"/>
        </w:types>
        <w:behaviors>
          <w:behavior w:val="content"/>
        </w:behaviors>
        <w:guid w:val="{06135137-E420-4289-8479-1FCD063ED7E7}"/>
      </w:docPartPr>
      <w:docPartBody>
        <w:p w:rsidR="00DE1416" w:rsidRDefault="00095BC2">
          <w:pPr>
            <w:pStyle w:val="94F479AE69BD450DBD84D5CA3044F74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2"/>
    <w:rsid w:val="00095BC2"/>
    <w:rsid w:val="00DE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74BFECAE14F85B64635164E68532A">
    <w:name w:val="69374BFECAE14F85B64635164E68532A"/>
  </w:style>
  <w:style w:type="paragraph" w:customStyle="1" w:styleId="D609BB30455843AB830D3382420253A1">
    <w:name w:val="D609BB30455843AB830D3382420253A1"/>
  </w:style>
  <w:style w:type="paragraph" w:customStyle="1" w:styleId="6E4610FE00EF46739B8164627FC165C1">
    <w:name w:val="6E4610FE00EF46739B8164627FC165C1"/>
  </w:style>
  <w:style w:type="paragraph" w:customStyle="1" w:styleId="086E7E9C35384433B3FEAF4A53430AE3">
    <w:name w:val="086E7E9C35384433B3FEAF4A53430AE3"/>
  </w:style>
  <w:style w:type="paragraph" w:customStyle="1" w:styleId="5BDD8D50D879431099652C8353D9694E">
    <w:name w:val="5BDD8D50D879431099652C8353D9694E"/>
  </w:style>
  <w:style w:type="paragraph" w:customStyle="1" w:styleId="F388D65B67DE4F92A4DEFE6601F6AA5D">
    <w:name w:val="F388D65B67DE4F92A4DEFE6601F6AA5D"/>
  </w:style>
  <w:style w:type="character" w:styleId="Emphasis">
    <w:name w:val="Emphasis"/>
    <w:basedOn w:val="DefaultParagraphFont"/>
    <w:uiPriority w:val="4"/>
    <w:unhideWhenUsed/>
    <w:qFormat/>
    <w:rPr>
      <w:i/>
      <w:iCs/>
    </w:rPr>
  </w:style>
  <w:style w:type="paragraph" w:customStyle="1" w:styleId="EFA27A2107564DBA95DAC2C7108F3475">
    <w:name w:val="EFA27A2107564DBA95DAC2C7108F3475"/>
  </w:style>
  <w:style w:type="paragraph" w:customStyle="1" w:styleId="9CF7DEEEF16A45EDA06F92F646798EB0">
    <w:name w:val="9CF7DEEEF16A45EDA06F92F646798EB0"/>
  </w:style>
  <w:style w:type="paragraph" w:customStyle="1" w:styleId="25B6FCCF2A8D486FB410D7E5C2C0D2D2">
    <w:name w:val="25B6FCCF2A8D486FB410D7E5C2C0D2D2"/>
  </w:style>
  <w:style w:type="paragraph" w:customStyle="1" w:styleId="59E86C37069B4E92866FAAABE679F392">
    <w:name w:val="59E86C37069B4E92866FAAABE679F392"/>
  </w:style>
  <w:style w:type="paragraph" w:customStyle="1" w:styleId="479B18302E314F3E989E1C1B3E86E2F2">
    <w:name w:val="479B18302E314F3E989E1C1B3E86E2F2"/>
  </w:style>
  <w:style w:type="paragraph" w:customStyle="1" w:styleId="6E8B2E3DB0ED4D8C8B8B4B8021CD2DB7">
    <w:name w:val="6E8B2E3DB0ED4D8C8B8B4B8021CD2DB7"/>
  </w:style>
  <w:style w:type="paragraph" w:customStyle="1" w:styleId="359DF60A84354EFF8D8540F5BDBE7998">
    <w:name w:val="359DF60A84354EFF8D8540F5BDBE7998"/>
  </w:style>
  <w:style w:type="paragraph" w:customStyle="1" w:styleId="CCAC4C53FF4E4C548197FD45FA8CAFE2">
    <w:name w:val="CCAC4C53FF4E4C548197FD45FA8CAFE2"/>
  </w:style>
  <w:style w:type="paragraph" w:customStyle="1" w:styleId="DF2BFFD289F84585A83D45420143141C">
    <w:name w:val="DF2BFFD289F84585A83D45420143141C"/>
  </w:style>
  <w:style w:type="paragraph" w:customStyle="1" w:styleId="E891219F35654C6A9DC667D0D39E7FCA">
    <w:name w:val="E891219F35654C6A9DC667D0D39E7FCA"/>
  </w:style>
  <w:style w:type="paragraph" w:customStyle="1" w:styleId="3CB0C916A2B44E2D95513B4437F6EEA4">
    <w:name w:val="3CB0C916A2B44E2D95513B4437F6EEA4"/>
  </w:style>
  <w:style w:type="paragraph" w:customStyle="1" w:styleId="60E8815ED9724650B38B810BD23B2088">
    <w:name w:val="60E8815ED9724650B38B810BD23B2088"/>
  </w:style>
  <w:style w:type="paragraph" w:customStyle="1" w:styleId="022506DB25EA46A78E3D395091767E7A">
    <w:name w:val="022506DB25EA46A78E3D395091767E7A"/>
  </w:style>
  <w:style w:type="paragraph" w:customStyle="1" w:styleId="31065F5178504E6BA36BAE986F6334A6">
    <w:name w:val="31065F5178504E6BA36BAE986F6334A6"/>
  </w:style>
  <w:style w:type="paragraph" w:customStyle="1" w:styleId="24CB2AC9F7974545ABB236788F544349">
    <w:name w:val="24CB2AC9F7974545ABB236788F544349"/>
  </w:style>
  <w:style w:type="paragraph" w:customStyle="1" w:styleId="6CF3F4DD81BA49AA9EE0049779F97C72">
    <w:name w:val="6CF3F4DD81BA49AA9EE0049779F97C72"/>
  </w:style>
  <w:style w:type="paragraph" w:customStyle="1" w:styleId="19CBB8DC1D8D493DB7BD4E50172F7F42">
    <w:name w:val="19CBB8DC1D8D493DB7BD4E50172F7F42"/>
  </w:style>
  <w:style w:type="paragraph" w:customStyle="1" w:styleId="8A0D4824A3A64D1DB3FEF04FF7241FE2">
    <w:name w:val="8A0D4824A3A64D1DB3FEF04FF7241FE2"/>
  </w:style>
  <w:style w:type="paragraph" w:customStyle="1" w:styleId="6E689D51D8CD45F69D8D07A3725C28B4">
    <w:name w:val="6E689D51D8CD45F69D8D07A3725C28B4"/>
  </w:style>
  <w:style w:type="paragraph" w:customStyle="1" w:styleId="E5B18DCB607749798D6A6D5DA7D6CED1">
    <w:name w:val="E5B18DCB607749798D6A6D5DA7D6CED1"/>
  </w:style>
  <w:style w:type="paragraph" w:customStyle="1" w:styleId="3C872A31069C470D9C4CA8CF98CFAB23">
    <w:name w:val="3C872A31069C470D9C4CA8CF98CFAB23"/>
  </w:style>
  <w:style w:type="paragraph" w:customStyle="1" w:styleId="732ACAAFDE714D81954FAB729BB6857E">
    <w:name w:val="732ACAAFDE714D81954FAB729BB6857E"/>
  </w:style>
  <w:style w:type="paragraph" w:customStyle="1" w:styleId="CD027207B9324859B1B18758681445CA">
    <w:name w:val="CD027207B9324859B1B18758681445CA"/>
  </w:style>
  <w:style w:type="paragraph" w:customStyle="1" w:styleId="5EB571E740DB4CF18D13F04E131CE5E7">
    <w:name w:val="5EB571E740DB4CF18D13F04E131CE5E7"/>
  </w:style>
  <w:style w:type="paragraph" w:customStyle="1" w:styleId="DC3648308F4E492BA9D410414ACFE8D8">
    <w:name w:val="DC3648308F4E492BA9D410414ACFE8D8"/>
  </w:style>
  <w:style w:type="paragraph" w:customStyle="1" w:styleId="AEDE49B46014413C8FF5B49BA443D761">
    <w:name w:val="AEDE49B46014413C8FF5B49BA443D761"/>
  </w:style>
  <w:style w:type="paragraph" w:customStyle="1" w:styleId="6CD7EF02D24144AB9F02F95B23EC99E3">
    <w:name w:val="6CD7EF02D24144AB9F02F95B23EC99E3"/>
  </w:style>
  <w:style w:type="paragraph" w:customStyle="1" w:styleId="57FC0E06EB9B4AFDB22C03A348DE4478">
    <w:name w:val="57FC0E06EB9B4AFDB22C03A348DE4478"/>
  </w:style>
  <w:style w:type="paragraph" w:customStyle="1" w:styleId="FC31AB6F49634D7AAABC2BB048030696">
    <w:name w:val="FC31AB6F49634D7AAABC2BB048030696"/>
  </w:style>
  <w:style w:type="paragraph" w:customStyle="1" w:styleId="C3EF77CD4D6B48DB80F49A45A3652C1D">
    <w:name w:val="C3EF77CD4D6B48DB80F49A45A3652C1D"/>
  </w:style>
  <w:style w:type="paragraph" w:customStyle="1" w:styleId="FE99DB6E2CAD4AF093F3BD89FEBF32CD">
    <w:name w:val="FE99DB6E2CAD4AF093F3BD89FEBF32CD"/>
  </w:style>
  <w:style w:type="paragraph" w:customStyle="1" w:styleId="772BEDC9201F4117BAC01A5774266DCA">
    <w:name w:val="772BEDC9201F4117BAC01A5774266DCA"/>
  </w:style>
  <w:style w:type="paragraph" w:customStyle="1" w:styleId="1211F6F516E54F458946F9CFD24E2FEF">
    <w:name w:val="1211F6F516E54F458946F9CFD24E2FEF"/>
  </w:style>
  <w:style w:type="paragraph" w:customStyle="1" w:styleId="88E7258AC526464BBBCDBDD2763D36AE">
    <w:name w:val="88E7258AC526464BBBCDBDD2763D36AE"/>
  </w:style>
  <w:style w:type="paragraph" w:customStyle="1" w:styleId="D891CCCEF9804B4B8C140DFA44B58157">
    <w:name w:val="D891CCCEF9804B4B8C140DFA44B58157"/>
  </w:style>
  <w:style w:type="paragraph" w:customStyle="1" w:styleId="6459EABAE2F341FBAE3BC347356ADA55">
    <w:name w:val="6459EABAE2F341FBAE3BC347356ADA55"/>
  </w:style>
  <w:style w:type="paragraph" w:customStyle="1" w:styleId="24947535E7A24306AD68AC21B433D96E">
    <w:name w:val="24947535E7A24306AD68AC21B433D96E"/>
  </w:style>
  <w:style w:type="paragraph" w:customStyle="1" w:styleId="EFBFEE8660A149B6B0049A5A35132206">
    <w:name w:val="EFBFEE8660A149B6B0049A5A35132206"/>
  </w:style>
  <w:style w:type="paragraph" w:customStyle="1" w:styleId="B4747B4644BE4BE7B74A77308DA0C373">
    <w:name w:val="B4747B4644BE4BE7B74A77308DA0C373"/>
  </w:style>
  <w:style w:type="paragraph" w:customStyle="1" w:styleId="116102DC8B014D7291F748CB6F7787D0">
    <w:name w:val="116102DC8B014D7291F748CB6F7787D0"/>
  </w:style>
  <w:style w:type="paragraph" w:customStyle="1" w:styleId="8455066AFAED4570998238161D7A908C">
    <w:name w:val="8455066AFAED4570998238161D7A908C"/>
  </w:style>
  <w:style w:type="paragraph" w:customStyle="1" w:styleId="808E9B7E8A6B4A52857147B71EB4F214">
    <w:name w:val="808E9B7E8A6B4A52857147B71EB4F214"/>
  </w:style>
  <w:style w:type="paragraph" w:customStyle="1" w:styleId="49E34BB1494D476B90ECC6FFEE33B512">
    <w:name w:val="49E34BB1494D476B90ECC6FFEE33B512"/>
  </w:style>
  <w:style w:type="paragraph" w:customStyle="1" w:styleId="FD1A876898AD4CC79EBF14880425D619">
    <w:name w:val="FD1A876898AD4CC79EBF14880425D619"/>
  </w:style>
  <w:style w:type="paragraph" w:customStyle="1" w:styleId="4885D39BA6A14E9AB75ADBF29DDBC380">
    <w:name w:val="4885D39BA6A14E9AB75ADBF29DDBC380"/>
  </w:style>
  <w:style w:type="paragraph" w:customStyle="1" w:styleId="C8015BE97C6C4FFEAA682125A0DF488A">
    <w:name w:val="C8015BE97C6C4FFEAA682125A0DF488A"/>
  </w:style>
  <w:style w:type="paragraph" w:customStyle="1" w:styleId="D3ABA5A0A4EF4F7DB287968961413EF8">
    <w:name w:val="D3ABA5A0A4EF4F7DB287968961413EF8"/>
  </w:style>
  <w:style w:type="paragraph" w:customStyle="1" w:styleId="7AE034BBD7644AFCBA0CC87BBDF9D44B">
    <w:name w:val="7AE034BBD7644AFCBA0CC87BBDF9D44B"/>
  </w:style>
  <w:style w:type="paragraph" w:customStyle="1" w:styleId="7AC6BB265F234E93B993EAA23837B3F5">
    <w:name w:val="7AC6BB265F234E93B993EAA23837B3F5"/>
  </w:style>
  <w:style w:type="paragraph" w:customStyle="1" w:styleId="2FD7AE0DA8FA46CC82D745F5A838410F">
    <w:name w:val="2FD7AE0DA8FA46CC82D745F5A838410F"/>
  </w:style>
  <w:style w:type="paragraph" w:customStyle="1" w:styleId="26B951D7362A4D2CB699F0E038AF7955">
    <w:name w:val="26B951D7362A4D2CB699F0E038AF7955"/>
  </w:style>
  <w:style w:type="paragraph" w:customStyle="1" w:styleId="0E7C96454429481B8BF994736041B930">
    <w:name w:val="0E7C96454429481B8BF994736041B930"/>
  </w:style>
  <w:style w:type="paragraph" w:customStyle="1" w:styleId="7674B847F75544DA881081E1E7621799">
    <w:name w:val="7674B847F75544DA881081E1E7621799"/>
  </w:style>
  <w:style w:type="paragraph" w:customStyle="1" w:styleId="4A3331D147AD44C0AAB07FC09E5E322D">
    <w:name w:val="4A3331D147AD44C0AAB07FC09E5E322D"/>
  </w:style>
  <w:style w:type="paragraph" w:customStyle="1" w:styleId="87F3B6E2E5EF4282A729168A121F6CB9">
    <w:name w:val="87F3B6E2E5EF4282A729168A121F6CB9"/>
  </w:style>
  <w:style w:type="paragraph" w:customStyle="1" w:styleId="7C7A94D06BC8487EBA0451F5E2075F44">
    <w:name w:val="7C7A94D06BC8487EBA0451F5E2075F44"/>
  </w:style>
  <w:style w:type="paragraph" w:customStyle="1" w:styleId="94F479AE69BD450DBD84D5CA3044F742">
    <w:name w:val="94F479AE69BD450DBD84D5CA3044F742"/>
  </w:style>
  <w:style w:type="paragraph" w:customStyle="1" w:styleId="220B7E7301B74248AB8EFEC38E766674">
    <w:name w:val="220B7E7301B74248AB8EFEC38E766674"/>
    <w:rsid w:val="00095BC2"/>
  </w:style>
  <w:style w:type="paragraph" w:customStyle="1" w:styleId="FB7781C9A02445B3A742B299600C53EA">
    <w:name w:val="FB7781C9A02445B3A742B299600C53EA"/>
    <w:rsid w:val="00095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HOME VISITING SERVICE AND FRAMEWORK</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You18</b:Tag>
    <b:SourceType>BookSection</b:SourceType>
    <b:Guid>{2CA9CDD3-3BE9-48B5-AD66-508D9E1569F7}</b:Guid>
    <b:Title>Benchmark Developments in U.S. Health Care</b:Title>
    <b:Year>2018</b:Year>
    <b:Pages>23-44</b:Pages>
    <b:BookTitle>Sultz &amp; Young's Health Care USA</b:BookTitle>
    <b:City>Burlington</b:City>
    <b:Publisher>Jones &amp; Bartlett Learning</b:Publisher>
    <b:Author>
      <b:Author>
        <b:NameList>
          <b:Person>
            <b:Last>Young</b:Last>
            <b:First>KM</b:First>
          </b:Person>
          <b:Person>
            <b:Last>Kroth</b:Last>
            <b:First>P</b:First>
          </b:Person>
        </b:NameList>
      </b:Author>
      <b:BookAuthor>
        <b:NameList>
          <b:Person>
            <b:Last>Young</b:Last>
            <b:First>KM</b:First>
          </b:Person>
          <b:Person>
            <b:Last>Kroth</b:Last>
            <b:First>P</b:First>
          </b:Person>
        </b:NameList>
      </b:BookAuthor>
    </b:Author>
    <b:StateProvince>MA</b:StateProvince>
    <b:CountryRegion>USA</b:CountryRegion>
    <b:ChapterNumber>2</b:ChapterNumber>
    <b:RefOrder>1</b:RefOrder>
  </b:Source>
  <b:Source>
    <b:Tag>Placeholder1</b:Tag>
    <b:SourceType>BookSection</b:SourceType>
    <b:Guid>{9605D2A7-D4CE-4EFF-A6E7-0F67D554ECE2}</b:Guid>
    <b:Author>
      <b:Author>
        <b:NameList>
          <b:Person>
            <b:Last>Young</b:Last>
            <b:First>KM</b:First>
          </b:Person>
          <b:Person>
            <b:Last>Kroth</b:Last>
            <b:First>PJ</b:First>
          </b:Person>
        </b:NameList>
      </b:Author>
      <b:BookAuthor>
        <b:NameList>
          <b:Person>
            <b:Last>Young</b:Last>
            <b:First>KM</b:First>
          </b:Person>
          <b:Person>
            <b:Last>Kroth</b:Last>
            <b:First>PJ</b:First>
          </b:Person>
        </b:NameList>
      </b:BookAuthor>
    </b:Author>
    <b:Title>Public health and the role of government in health care</b:Title>
    <b:BookTitle>Sultz &amp; Young's Health care USA</b:BookTitle>
    <b:Year>2018</b:Year>
    <b:Pages>301-47</b:Pages>
    <b:City>Burlington</b:City>
    <b:Publisher>Jones &amp; Bartlett Learning</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FC689-7126-42CD-9C21-3BDED47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123</TotalTime>
  <Pages>26</Pages>
  <Words>20050</Words>
  <Characters>114287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Home Visiting Service and Framework:
Strategic Business Proposal</vt:lpstr>
    </vt:vector>
  </TitlesOfParts>
  <Company/>
  <LinksUpToDate>false</LinksUpToDate>
  <CharactersWithSpaces>134069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Visiting Service and Framework:
Strategic Business Proposal</dc:title>
  <dc:subject/>
  <dc:creator>Karen Flores</dc:creator>
  <cp:keywords>893ddeef-504e-401b-b8bc-71666faeb113</cp:keywords>
  <dc:description/>
  <cp:lastModifiedBy>Karen Flores</cp:lastModifiedBy>
  <cp:revision>12</cp:revision>
  <dcterms:created xsi:type="dcterms:W3CDTF">2019-04-26T00:33:00Z</dcterms:created>
  <dcterms:modified xsi:type="dcterms:W3CDTF">2019-04-30T02:37:00Z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12ba214d-75f7-3102-9db3-badb8a80649a</vt:lpwstr>
  </property>
  <property fmtid="{D5CDD505-2E9C-101B-9397-08002B2CF9AE}" pid="24" name="Mendeley Citation Style_1">
    <vt:lpwstr>http://www.zotero.org/styles/apa</vt:lpwstr>
  </property>
</Properties>
</file>